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27" w:name="_GoBack"/>
      <w:bookmarkEnd w:id="27"/>
    </w:p>
    <w:p w14:paraId="0B93FCD0">
      <w:pPr>
        <w:jc w:val="center"/>
        <w:rPr>
          <w:rFonts w:hint="eastAsia" w:ascii="方正姚体" w:hAnsi="宋体" w:eastAsia="方正姚体" w:cs="Times New Roman"/>
          <w:b/>
          <w:sz w:val="40"/>
          <w:szCs w:val="40"/>
        </w:rPr>
      </w:pPr>
    </w:p>
    <w:p w14:paraId="128BEA19">
      <w:pPr>
        <w:jc w:val="center"/>
        <w:rPr>
          <w:rFonts w:hint="eastAsia" w:ascii="方正姚体" w:hAnsi="宋体" w:eastAsia="方正姚体" w:cs="Times New Roman"/>
          <w:b/>
          <w:sz w:val="40"/>
          <w:szCs w:val="40"/>
        </w:rPr>
      </w:pPr>
    </w:p>
    <w:p w14:paraId="589A58B6">
      <w:pPr>
        <w:spacing w:line="300" w:lineRule="auto"/>
        <w:ind w:right="-913" w:rightChars="-435" w:firstLine="482" w:firstLineChars="100"/>
        <w:rPr>
          <w:rFonts w:ascii="黑体" w:hAnsi="Calibri" w:eastAsia="黑体" w:cs="Times New Roman"/>
          <w:sz w:val="72"/>
          <w:szCs w:val="72"/>
        </w:rPr>
      </w:pPr>
      <w:r>
        <w:rPr>
          <w:rFonts w:hint="eastAsia" w:ascii="宋体" w:hAnsi="宋体" w:eastAsia="宋体" w:cs="Times New Roman"/>
          <w:b/>
          <w:sz w:val="48"/>
          <w:szCs w:val="48"/>
        </w:rPr>
        <w:t>金审学院资源访问控制系统采购项目</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2025年10月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12</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14</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18</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03A3A381">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金审学院资源访问控制系统采购项目已由项目审批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项目名称：金审学院资源访问控制系统采购项目</w:t>
      </w:r>
    </w:p>
    <w:p w14:paraId="13DD954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内容：为了解决师生在校外使用学校图书电子资源，使用如教务系统、资产系统、学工系统、信息门户等应用系统的问题，需建设一套兼具易用性及安全性的资源访问控制系统，满足校外用户访问内网资源的需求，具体内容详见第四章-项目需求。</w:t>
      </w:r>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4296"/>
        <w:gridCol w:w="992"/>
        <w:gridCol w:w="992"/>
      </w:tblGrid>
      <w:tr w14:paraId="31DE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661" w:type="dxa"/>
            <w:vAlign w:val="center"/>
          </w:tcPr>
          <w:p w14:paraId="34744131">
            <w:pPr>
              <w:jc w:val="center"/>
              <w:rPr>
                <w:rFonts w:hint="eastAsia" w:ascii="宋体" w:hAnsi="宋体" w:cs="宋体"/>
              </w:rPr>
            </w:pPr>
            <w:r>
              <w:rPr>
                <w:rFonts w:hint="eastAsia" w:ascii="宋体" w:hAnsi="宋体" w:cs="宋体"/>
              </w:rPr>
              <w:t>序号</w:t>
            </w:r>
          </w:p>
        </w:tc>
        <w:tc>
          <w:tcPr>
            <w:tcW w:w="4296" w:type="dxa"/>
            <w:vAlign w:val="center"/>
          </w:tcPr>
          <w:p w14:paraId="6AF5BB9B">
            <w:pPr>
              <w:jc w:val="center"/>
              <w:rPr>
                <w:rFonts w:hint="eastAsia" w:ascii="宋体" w:hAnsi="宋体" w:cs="宋体"/>
              </w:rPr>
            </w:pPr>
            <w:r>
              <w:rPr>
                <w:rFonts w:hint="eastAsia" w:ascii="宋体" w:hAnsi="宋体" w:cs="宋体"/>
              </w:rPr>
              <w:t>名称</w:t>
            </w:r>
          </w:p>
        </w:tc>
        <w:tc>
          <w:tcPr>
            <w:tcW w:w="992" w:type="dxa"/>
            <w:vAlign w:val="center"/>
          </w:tcPr>
          <w:p w14:paraId="702B1C19">
            <w:pPr>
              <w:jc w:val="center"/>
              <w:rPr>
                <w:rFonts w:hint="eastAsia" w:ascii="宋体" w:hAnsi="宋体" w:cs="宋体"/>
              </w:rPr>
            </w:pPr>
            <w:r>
              <w:rPr>
                <w:rFonts w:hint="eastAsia" w:ascii="宋体" w:hAnsi="宋体" w:cs="宋体"/>
              </w:rPr>
              <w:t>数量</w:t>
            </w:r>
          </w:p>
        </w:tc>
        <w:tc>
          <w:tcPr>
            <w:tcW w:w="992" w:type="dxa"/>
            <w:vAlign w:val="center"/>
          </w:tcPr>
          <w:p w14:paraId="40E1CF69">
            <w:pPr>
              <w:jc w:val="center"/>
              <w:rPr>
                <w:rFonts w:hint="eastAsia" w:ascii="宋体" w:hAnsi="宋体" w:cs="宋体"/>
              </w:rPr>
            </w:pPr>
            <w:r>
              <w:rPr>
                <w:rFonts w:hint="eastAsia" w:ascii="宋体" w:hAnsi="宋体" w:cs="宋体"/>
              </w:rPr>
              <w:t>单位</w:t>
            </w:r>
          </w:p>
        </w:tc>
      </w:tr>
      <w:tr w14:paraId="683A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61" w:type="dxa"/>
            <w:vAlign w:val="center"/>
          </w:tcPr>
          <w:p w14:paraId="4C132EBC">
            <w:pPr>
              <w:jc w:val="center"/>
              <w:rPr>
                <w:rFonts w:hint="eastAsia" w:ascii="宋体" w:hAnsi="宋体" w:cs="宋体"/>
              </w:rPr>
            </w:pPr>
            <w:r>
              <w:rPr>
                <w:rFonts w:hint="eastAsia" w:ascii="宋体" w:hAnsi="宋体" w:cs="宋体"/>
              </w:rPr>
              <w:t>1</w:t>
            </w:r>
          </w:p>
        </w:tc>
        <w:tc>
          <w:tcPr>
            <w:tcW w:w="4296" w:type="dxa"/>
            <w:vAlign w:val="center"/>
          </w:tcPr>
          <w:p w14:paraId="16F4BA7E">
            <w:pPr>
              <w:jc w:val="center"/>
              <w:rPr>
                <w:rFonts w:hint="eastAsia" w:ascii="宋体" w:hAnsi="宋体" w:cs="宋体"/>
              </w:rPr>
            </w:pPr>
            <w:r>
              <w:rPr>
                <w:rFonts w:hint="eastAsia" w:ascii="宋体" w:hAnsi="宋体" w:cs="宋体"/>
                <w:sz w:val="24"/>
              </w:rPr>
              <w:t>资源访问控制系统</w:t>
            </w:r>
          </w:p>
        </w:tc>
        <w:tc>
          <w:tcPr>
            <w:tcW w:w="992" w:type="dxa"/>
            <w:vAlign w:val="center"/>
          </w:tcPr>
          <w:p w14:paraId="45A31F3B">
            <w:pPr>
              <w:jc w:val="center"/>
              <w:rPr>
                <w:rFonts w:hint="eastAsia" w:ascii="宋体" w:hAnsi="宋体" w:cs="宋体"/>
              </w:rPr>
            </w:pPr>
            <w:r>
              <w:rPr>
                <w:rFonts w:ascii="宋体" w:hAnsi="宋体" w:cs="宋体"/>
              </w:rPr>
              <w:t>1</w:t>
            </w:r>
          </w:p>
        </w:tc>
        <w:tc>
          <w:tcPr>
            <w:tcW w:w="992" w:type="dxa"/>
            <w:vAlign w:val="center"/>
          </w:tcPr>
          <w:p w14:paraId="1DF201C3">
            <w:pPr>
              <w:jc w:val="center"/>
              <w:rPr>
                <w:rFonts w:hint="eastAsia" w:ascii="宋体" w:hAnsi="宋体" w:cs="宋体"/>
              </w:rPr>
            </w:pPr>
            <w:r>
              <w:rPr>
                <w:rFonts w:hint="eastAsia" w:ascii="宋体" w:hAnsi="宋体" w:cs="宋体"/>
              </w:rPr>
              <w:t>套</w:t>
            </w:r>
          </w:p>
        </w:tc>
      </w:tr>
    </w:tbl>
    <w:p w14:paraId="36552A15">
      <w:pPr>
        <w:spacing w:line="360" w:lineRule="auto"/>
        <w:ind w:firstLine="480" w:firstLineChars="200"/>
        <w:rPr>
          <w:rFonts w:hint="eastAsia" w:ascii="宋体" w:hAnsi="宋体" w:eastAsia="宋体" w:cs="Times New Roman"/>
          <w:sz w:val="24"/>
          <w:lang w:val="zh-CN"/>
        </w:rPr>
      </w:pPr>
    </w:p>
    <w:p w14:paraId="318A456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最高限价：16</w:t>
      </w:r>
      <w:r>
        <w:rPr>
          <w:rFonts w:hint="eastAsia" w:ascii="宋体" w:hAnsi="宋体" w:eastAsia="宋体" w:cs="Times New Roman"/>
          <w:sz w:val="24"/>
        </w:rPr>
        <w:t>万</w:t>
      </w:r>
      <w:r>
        <w:rPr>
          <w:rFonts w:hint="eastAsia" w:ascii="宋体" w:hAnsi="宋体" w:eastAsia="宋体" w:cs="Times New Roman"/>
          <w:sz w:val="24"/>
          <w:lang w:val="zh-CN"/>
        </w:rPr>
        <w:t>元。</w:t>
      </w:r>
    </w:p>
    <w:p w14:paraId="47943791">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合同履行期限：合同签订后15天内所有设备到货并完成安装调试。</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、具有良好的商业信誉和健全的财务会计制度（提供</w:t>
      </w:r>
      <w:r>
        <w:rPr>
          <w:rFonts w:hint="eastAsia" w:ascii="宋体" w:hAnsi="宋体" w:eastAsia="宋体" w:cs="Times New Roman"/>
          <w:sz w:val="24"/>
        </w:rPr>
        <w:t>参加本次采购活动前半年内至少一个月的会计报表，或者提供</w:t>
      </w:r>
      <w:r>
        <w:rPr>
          <w:rFonts w:ascii="宋体" w:hAnsi="宋体" w:eastAsia="宋体" w:cs="Times New Roman"/>
          <w:sz w:val="24"/>
        </w:rPr>
        <w:t>202</w:t>
      </w:r>
      <w:r>
        <w:rPr>
          <w:rFonts w:hint="eastAsia" w:ascii="宋体" w:hAnsi="宋体" w:eastAsia="宋体" w:cs="Times New Roman"/>
          <w:sz w:val="24"/>
        </w:rPr>
        <w:t>4</w:t>
      </w:r>
      <w:r>
        <w:rPr>
          <w:rFonts w:ascii="宋体" w:hAnsi="宋体" w:eastAsia="宋体" w:cs="Times New Roman"/>
          <w:sz w:val="24"/>
        </w:rPr>
        <w:t>年度</w:t>
      </w:r>
      <w:r>
        <w:rPr>
          <w:rFonts w:hint="eastAsia" w:ascii="宋体" w:hAnsi="宋体" w:eastAsia="宋体" w:cs="Times New Roman"/>
          <w:sz w:val="24"/>
        </w:rPr>
        <w:t>的财务报告</w:t>
      </w:r>
      <w:r>
        <w:rPr>
          <w:rFonts w:ascii="宋体" w:hAnsi="宋体" w:eastAsia="宋体" w:cs="Times New Roman"/>
          <w:sz w:val="24"/>
        </w:rPr>
        <w:t>）；</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1、获取时间：从202</w:t>
      </w:r>
      <w:r>
        <w:rPr>
          <w:rFonts w:hint="eastAsia" w:ascii="宋体" w:hAnsi="宋体" w:eastAsia="宋体" w:cs="Times New Roman"/>
          <w:sz w:val="24"/>
          <w:lang w:val="zh-CN"/>
        </w:rPr>
        <w:t>5</w:t>
      </w:r>
      <w:r>
        <w:rPr>
          <w:rFonts w:ascii="宋体" w:hAnsi="宋体" w:eastAsia="宋体" w:cs="Times New Roman"/>
          <w:sz w:val="24"/>
          <w:lang w:val="zh-CN"/>
        </w:rPr>
        <w:t>年</w:t>
      </w:r>
      <w:r>
        <w:rPr>
          <w:rFonts w:hint="eastAsia" w:ascii="宋体" w:hAnsi="宋体" w:eastAsia="宋体" w:cs="Times New Roman"/>
          <w:sz w:val="24"/>
          <w:lang w:val="zh-CN"/>
        </w:rPr>
        <w:t>10</w:t>
      </w:r>
      <w:r>
        <w:rPr>
          <w:rFonts w:ascii="宋体" w:hAnsi="宋体" w:eastAsia="宋体" w:cs="Times New Roman"/>
          <w:sz w:val="24"/>
          <w:lang w:val="zh-CN"/>
        </w:rPr>
        <w:t>月</w:t>
      </w:r>
      <w:r>
        <w:rPr>
          <w:rFonts w:hint="eastAsia" w:ascii="宋体" w:hAnsi="宋体" w:eastAsia="宋体" w:cs="Times New Roman"/>
          <w:sz w:val="24"/>
          <w:lang w:val="zh-CN"/>
        </w:rPr>
        <w:t>16</w:t>
      </w:r>
      <w:r>
        <w:rPr>
          <w:rFonts w:ascii="宋体" w:hAnsi="宋体" w:eastAsia="宋体" w:cs="Times New Roman"/>
          <w:sz w:val="24"/>
          <w:lang w:val="zh-CN"/>
        </w:rPr>
        <w:t>日09时00分到202</w:t>
      </w:r>
      <w:r>
        <w:rPr>
          <w:rFonts w:hint="eastAsia" w:ascii="宋体" w:hAnsi="宋体" w:eastAsia="宋体" w:cs="Times New Roman"/>
          <w:sz w:val="24"/>
          <w:lang w:val="zh-CN"/>
        </w:rPr>
        <w:t>5</w:t>
      </w:r>
      <w:r>
        <w:rPr>
          <w:rFonts w:ascii="宋体" w:hAnsi="宋体" w:eastAsia="宋体" w:cs="Times New Roman"/>
          <w:sz w:val="24"/>
          <w:lang w:val="zh-CN"/>
        </w:rPr>
        <w:t>年</w:t>
      </w:r>
      <w:r>
        <w:rPr>
          <w:rFonts w:hint="eastAsia" w:ascii="宋体" w:hAnsi="宋体" w:eastAsia="宋体" w:cs="Times New Roman"/>
          <w:sz w:val="24"/>
          <w:lang w:val="zh-CN"/>
        </w:rPr>
        <w:t>10</w:t>
      </w:r>
      <w:r>
        <w:rPr>
          <w:rFonts w:ascii="宋体" w:hAnsi="宋体" w:eastAsia="宋体" w:cs="Times New Roman"/>
          <w:sz w:val="24"/>
          <w:lang w:val="zh-CN"/>
        </w:rPr>
        <w:t>月</w:t>
      </w:r>
      <w:r>
        <w:rPr>
          <w:rFonts w:hint="eastAsia" w:ascii="宋体" w:hAnsi="宋体" w:eastAsia="宋体" w:cs="Times New Roman"/>
          <w:sz w:val="24"/>
          <w:lang w:val="zh-CN"/>
        </w:rPr>
        <w:t>22</w:t>
      </w:r>
      <w:r>
        <w:rPr>
          <w:rFonts w:ascii="宋体" w:hAnsi="宋体" w:eastAsia="宋体" w:cs="Times New Roman"/>
          <w:sz w:val="24"/>
          <w:lang w:val="zh-CN"/>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w:t>
      </w:r>
      <w:r>
        <w:rPr>
          <w:rFonts w:hint="eastAsia" w:ascii="宋体" w:hAnsi="宋体" w:eastAsia="宋体" w:cs="Times New Roman"/>
          <w:sz w:val="24"/>
          <w:lang w:val="zh-CN"/>
        </w:rPr>
        <w:t>投标人网上报名发送邮件格式：项目名称：资源访问控制系统，</w:t>
      </w:r>
      <w:r>
        <w:rPr>
          <w:rFonts w:ascii="宋体" w:hAnsi="宋体" w:eastAsia="宋体" w:cs="Times New Roman"/>
          <w:sz w:val="24"/>
          <w:lang w:val="zh-CN"/>
        </w:rPr>
        <w:t>包括委托人将单位介绍信或法人授权委托书、领取文件登记表（详见附件）、文件费转账截图发送至邮箱。本项目只接受网上报名，受理报名邮箱为zbb_naujsc@163.com，报名联系人：张老师025-85780003</w:t>
      </w:r>
    </w:p>
    <w:p w14:paraId="7C11D69C">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sz w:val="24"/>
          <w:lang w:val="zh-CN"/>
        </w:rPr>
        <w:t>200</w:t>
      </w:r>
      <w:r>
        <w:rPr>
          <w:rFonts w:ascii="宋体" w:hAnsi="宋体" w:eastAsia="宋体" w:cs="Times New Roman"/>
          <w:sz w:val="24"/>
          <w:lang w:val="zh-CN"/>
        </w:rPr>
        <w:t>元，售后不退。文件费电汇至如下账户：南京审计大学金审学院，开户银行名称：</w:t>
      </w:r>
      <w:r>
        <w:rPr>
          <w:rFonts w:hint="eastAsia" w:ascii="宋体" w:hAnsi="宋体" w:eastAsia="宋体" w:cs="Times New Roman"/>
          <w:sz w:val="24"/>
          <w:lang w:val="zh-CN"/>
        </w:rPr>
        <w:t>工商银行栖霞支行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w:t>
      </w:r>
      <w:r>
        <w:rPr>
          <w:rFonts w:hint="eastAsia" w:ascii="宋体" w:hAnsi="宋体" w:eastAsia="宋体" w:cs="Times New Roman"/>
          <w:sz w:val="24"/>
          <w:lang w:val="zh-CN"/>
        </w:rPr>
        <w:t>资源访问控制系统</w:t>
      </w:r>
      <w:r>
        <w:rPr>
          <w:rFonts w:ascii="宋体" w:hAnsi="宋体" w:eastAsia="宋体" w:cs="Times New Roman"/>
          <w:sz w:val="24"/>
          <w:lang w:val="zh-CN"/>
        </w:rPr>
        <w:t>。</w:t>
      </w:r>
      <w:r>
        <w:rPr>
          <w:rFonts w:hint="eastAsia" w:ascii="宋体" w:hAnsi="宋体" w:eastAsia="宋体" w:cs="Times New Roman"/>
          <w:sz w:val="24"/>
          <w:lang w:val="zh-CN"/>
        </w:rPr>
        <w:t>磋商文件见公告附件。</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bookmarkStart w:id="2" w:name="_Hlk183505892"/>
      <w:r>
        <w:rPr>
          <w:rFonts w:hint="eastAsia" w:ascii="宋体" w:hAnsi="宋体" w:eastAsia="宋体" w:cs="Times New Roman"/>
          <w:sz w:val="24"/>
        </w:rPr>
        <w:t>1、响应文件提交开始时间：2025年10月28日13时30分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2、响应文件提交截止时间：2025年10月28日14时00分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3、响应文件提交地点：南京市栖霞区仙林大道100号行政楼一楼会议室（如修改开标地点，招标人另行通知）。</w:t>
      </w:r>
    </w:p>
    <w:p w14:paraId="1B469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响应文件份数：纸质版响应文件一式叁份（壹份正本、贰份副本），电子版响应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p>
    <w:bookmarkEnd w:id="2"/>
    <w:p w14:paraId="62C4FAD7">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sz w:val="24"/>
        </w:rPr>
        <w:t>202</w:t>
      </w:r>
      <w:r>
        <w:rPr>
          <w:rFonts w:hint="eastAsia" w:ascii="宋体" w:hAnsi="宋体" w:eastAsia="宋体" w:cs="Times New Roman"/>
          <w:sz w:val="24"/>
        </w:rPr>
        <w:t>5</w:t>
      </w:r>
      <w:r>
        <w:rPr>
          <w:rFonts w:ascii="宋体" w:hAnsi="宋体" w:eastAsia="宋体" w:cs="Times New Roman"/>
          <w:sz w:val="24"/>
        </w:rPr>
        <w:t>年</w:t>
      </w:r>
      <w:r>
        <w:rPr>
          <w:rFonts w:hint="eastAsia" w:ascii="宋体" w:hAnsi="宋体" w:eastAsia="宋体" w:cs="Times New Roman"/>
          <w:sz w:val="24"/>
        </w:rPr>
        <w:t>10</w:t>
      </w:r>
      <w:r>
        <w:rPr>
          <w:rFonts w:ascii="宋体" w:hAnsi="宋体" w:eastAsia="宋体" w:cs="Times New Roman"/>
          <w:sz w:val="24"/>
        </w:rPr>
        <w:t>月</w:t>
      </w:r>
      <w:r>
        <w:rPr>
          <w:rFonts w:hint="eastAsia" w:ascii="宋体" w:hAnsi="宋体" w:eastAsia="宋体" w:cs="Times New Roman"/>
          <w:sz w:val="24"/>
        </w:rPr>
        <w:t>28</w:t>
      </w:r>
      <w:r>
        <w:rPr>
          <w:rFonts w:ascii="宋体" w:hAnsi="宋体" w:eastAsia="宋体" w:cs="Times New Roman"/>
          <w:sz w:val="24"/>
        </w:rPr>
        <w:t>日</w:t>
      </w:r>
      <w:r>
        <w:rPr>
          <w:rFonts w:hint="eastAsia" w:ascii="宋体" w:hAnsi="宋体" w:eastAsia="宋体" w:cs="Times New Roman"/>
          <w:sz w:val="24"/>
        </w:rPr>
        <w:t>14</w:t>
      </w:r>
      <w:r>
        <w:rPr>
          <w:rFonts w:ascii="宋体" w:hAnsi="宋体" w:eastAsia="宋体" w:cs="Times New Roman"/>
          <w:sz w:val="24"/>
        </w:rPr>
        <w:t>时</w:t>
      </w:r>
      <w:r>
        <w:rPr>
          <w:rFonts w:hint="eastAsia" w:ascii="宋体" w:hAnsi="宋体" w:eastAsia="宋体" w:cs="Times New Roman"/>
          <w:sz w:val="24"/>
        </w:rPr>
        <w:t>00</w:t>
      </w:r>
      <w:r>
        <w:rPr>
          <w:rFonts w:ascii="宋体" w:hAnsi="宋体" w:eastAsia="宋体" w:cs="Times New Roman"/>
          <w:sz w:val="24"/>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w:t>
      </w:r>
      <w:bookmarkStart w:id="3" w:name="_Hlk183505934"/>
      <w:r>
        <w:rPr>
          <w:rFonts w:hint="eastAsia" w:ascii="宋体" w:hAnsi="宋体" w:eastAsia="宋体" w:cs="Times New Roman"/>
          <w:sz w:val="24"/>
        </w:rPr>
        <w:t>南京市栖霞区仙林大道100号行政楼一楼会议室（如修改开标地点，招标人另行通知）。</w:t>
      </w:r>
      <w:bookmarkEnd w:id="3"/>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31624AD5">
      <w:pPr>
        <w:pStyle w:val="554"/>
        <w:numPr>
          <w:ilvl w:val="0"/>
          <w:numId w:val="7"/>
        </w:numPr>
        <w:autoSpaceDE w:val="0"/>
        <w:autoSpaceDN w:val="0"/>
        <w:adjustRightInd w:val="0"/>
        <w:spacing w:line="360" w:lineRule="auto"/>
        <w:ind w:firstLineChars="0"/>
        <w:rPr>
          <w:rFonts w:hint="eastAsia" w:ascii="宋体" w:hAnsi="宋体" w:eastAsia="宋体" w:cs="Times New Roman"/>
          <w:sz w:val="24"/>
          <w:lang w:val="zh-CN"/>
        </w:rPr>
      </w:pPr>
      <w:r>
        <w:rPr>
          <w:rFonts w:hint="eastAsia" w:ascii="宋体" w:hAnsi="宋体" w:eastAsia="宋体" w:cs="Times New Roman"/>
          <w:sz w:val="24"/>
          <w:lang w:val="zh-CN"/>
        </w:rPr>
        <w:t>技术参数联系人：李老师 13851532855</w:t>
      </w:r>
    </w:p>
    <w:p w14:paraId="2F59F458">
      <w:pPr>
        <w:pStyle w:val="554"/>
        <w:numPr>
          <w:ilvl w:val="0"/>
          <w:numId w:val="7"/>
        </w:numPr>
        <w:autoSpaceDE w:val="0"/>
        <w:autoSpaceDN w:val="0"/>
        <w:adjustRightInd w:val="0"/>
        <w:spacing w:line="360" w:lineRule="auto"/>
        <w:ind w:firstLineChars="0"/>
        <w:rPr>
          <w:rFonts w:hint="eastAsia" w:ascii="宋体" w:hAnsi="宋体" w:eastAsia="宋体" w:cs="Times New Roman"/>
          <w:sz w:val="24"/>
          <w:lang w:val="zh-CN"/>
        </w:rPr>
      </w:pPr>
      <w:r>
        <w:rPr>
          <w:rFonts w:hint="eastAsia" w:ascii="宋体" w:hAnsi="宋体" w:eastAsia="宋体" w:cs="Times New Roman"/>
          <w:sz w:val="24"/>
          <w:lang w:val="zh-CN"/>
        </w:rPr>
        <w:t>招投标联系人：张老师 025-85780003</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4" w:name="_Toc179553568"/>
      <w:r>
        <w:rPr>
          <w:rFonts w:hint="eastAsia" w:ascii="宋体" w:hAnsi="宋体" w:eastAsia="宋体" w:cs="宋体"/>
          <w:b/>
          <w:bCs/>
          <w:kern w:val="0"/>
          <w:sz w:val="36"/>
          <w:szCs w:val="36"/>
        </w:rPr>
        <w:t>第二章  投标人须知</w:t>
      </w:r>
      <w:bookmarkEnd w:id="4"/>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5"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金审学院资源访问控制系统采购项目</w:t>
      </w:r>
    </w:p>
    <w:p w14:paraId="1195D613">
      <w:pPr>
        <w:spacing w:line="360" w:lineRule="auto"/>
        <w:ind w:firstLine="475" w:firstLineChars="198"/>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金审学院资源访问控制系统采购项目，详见磋商文件第四章项目需求。</w:t>
      </w:r>
    </w:p>
    <w:p w14:paraId="1E6F694D">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rPr>
        <w:t>3</w:t>
      </w:r>
      <w:r>
        <w:rPr>
          <w:rFonts w:hint="eastAsia" w:ascii="宋体" w:hAnsi="宋体" w:eastAsia="宋体" w:cs="Times New Roman"/>
          <w:bCs/>
          <w:sz w:val="24"/>
        </w:rPr>
        <w:t>、合同履行</w:t>
      </w:r>
      <w:bookmarkEnd w:id="5"/>
      <w:r>
        <w:rPr>
          <w:rFonts w:hint="eastAsia" w:ascii="宋体" w:hAnsi="宋体" w:eastAsia="宋体" w:cs="Times New Roman"/>
          <w:bCs/>
          <w:sz w:val="24"/>
        </w:rPr>
        <w:t>期限：</w:t>
      </w:r>
      <w:r>
        <w:rPr>
          <w:rFonts w:hint="eastAsia" w:ascii="宋体" w:hAnsi="宋体" w:eastAsia="宋体" w:cs="Times New Roman"/>
          <w:sz w:val="24"/>
          <w:lang w:val="zh-CN"/>
        </w:rPr>
        <w:t>合同签订后15天内所有设备到货并完成安装调试。</w:t>
      </w:r>
    </w:p>
    <w:p w14:paraId="55A802DC">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204205CA">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1、价格部分是对服务价格构成的说明，磋商文件如没有特别说明的话，对每一项服务仅接受一个价格。</w:t>
      </w:r>
    </w:p>
    <w:p w14:paraId="1FE4CAE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2、报价应包含完成本服务项目发生的所有含税费用、支付给员工的工资和国家强制缴纳的各种社会保障资金，以及供应商认为需要的其他费用等。</w:t>
      </w:r>
    </w:p>
    <w:p w14:paraId="27490CC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3、供应商应充分考虑到市场价格变动，以及项目实施过程中的不可预见因素，一旦成交，总价格不变。如果有漏项，视同让利。</w:t>
      </w:r>
    </w:p>
    <w:p w14:paraId="5DA0667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4、经磋商后，如果成交价高于或低于供应商在响应文件首次报价的，分项报价同比例调整。</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一、磋商申请及声明</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二、法定代表人授权委托书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三、拟投入项目人员汇总表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四、近三年类似项目业绩表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五、商务条款偏离表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六、技术条款偏离表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七、服务方案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八、无重大违法记录声明</w:t>
      </w:r>
    </w:p>
    <w:p w14:paraId="466883B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九、具备履行合同所必需的设备和专业技术能力的声明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6" w:name="_Hlk85095957"/>
    </w:p>
    <w:bookmarkEnd w:id="6"/>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7" w:name="_Toc179553569"/>
      <w:r>
        <w:rPr>
          <w:rFonts w:hint="eastAsia" w:ascii="宋体" w:hAnsi="宋体" w:eastAsia="宋体" w:cs="宋体"/>
          <w:b/>
          <w:bCs/>
          <w:kern w:val="0"/>
          <w:sz w:val="36"/>
          <w:szCs w:val="21"/>
        </w:rPr>
        <w:t>第三章  评标方法及标准</w:t>
      </w:r>
      <w:bookmarkEnd w:id="7"/>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871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65"/>
        <w:gridCol w:w="6623"/>
        <w:gridCol w:w="658"/>
      </w:tblGrid>
      <w:tr w14:paraId="1439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31" w:type="dxa"/>
            <w:gridSpan w:val="2"/>
            <w:vAlign w:val="center"/>
          </w:tcPr>
          <w:p w14:paraId="6B709742">
            <w:pPr>
              <w:jc w:val="center"/>
              <w:rPr>
                <w:rFonts w:hint="eastAsia" w:ascii="宋体" w:hAnsi="宋体" w:eastAsia="宋体"/>
                <w:b/>
                <w:szCs w:val="21"/>
              </w:rPr>
            </w:pPr>
            <w:r>
              <w:rPr>
                <w:rFonts w:hint="eastAsia" w:ascii="宋体" w:hAnsi="宋体" w:eastAsia="宋体"/>
                <w:b/>
                <w:szCs w:val="21"/>
              </w:rPr>
              <w:t>评审因素</w:t>
            </w:r>
          </w:p>
        </w:tc>
        <w:tc>
          <w:tcPr>
            <w:tcW w:w="6623" w:type="dxa"/>
            <w:vAlign w:val="center"/>
          </w:tcPr>
          <w:p w14:paraId="5967B9DC">
            <w:pPr>
              <w:jc w:val="center"/>
              <w:rPr>
                <w:rFonts w:hint="eastAsia" w:ascii="宋体" w:hAnsi="宋体" w:eastAsia="宋体"/>
                <w:b/>
                <w:szCs w:val="21"/>
              </w:rPr>
            </w:pPr>
            <w:r>
              <w:rPr>
                <w:rFonts w:hint="eastAsia" w:ascii="宋体" w:hAnsi="宋体" w:eastAsia="宋体"/>
                <w:b/>
                <w:szCs w:val="21"/>
              </w:rPr>
              <w:t>指标</w:t>
            </w:r>
          </w:p>
        </w:tc>
        <w:tc>
          <w:tcPr>
            <w:tcW w:w="658" w:type="dxa"/>
            <w:vAlign w:val="center"/>
          </w:tcPr>
          <w:p w14:paraId="7B520290">
            <w:pPr>
              <w:jc w:val="center"/>
              <w:rPr>
                <w:rFonts w:hint="eastAsia" w:ascii="宋体" w:hAnsi="宋体" w:eastAsia="宋体"/>
                <w:b/>
                <w:szCs w:val="21"/>
              </w:rPr>
            </w:pPr>
            <w:r>
              <w:rPr>
                <w:rFonts w:hint="eastAsia" w:ascii="宋体" w:hAnsi="宋体" w:eastAsia="宋体"/>
                <w:b/>
                <w:szCs w:val="21"/>
              </w:rPr>
              <w:t>分值</w:t>
            </w:r>
          </w:p>
        </w:tc>
      </w:tr>
      <w:tr w14:paraId="110D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31" w:type="dxa"/>
            <w:gridSpan w:val="2"/>
            <w:vAlign w:val="center"/>
          </w:tcPr>
          <w:p w14:paraId="734FA940">
            <w:pPr>
              <w:jc w:val="center"/>
              <w:rPr>
                <w:rFonts w:hint="eastAsia" w:ascii="宋体" w:hAnsi="宋体" w:eastAsia="宋体"/>
                <w:szCs w:val="21"/>
              </w:rPr>
            </w:pPr>
            <w:r>
              <w:rPr>
                <w:rFonts w:hint="eastAsia" w:ascii="宋体" w:hAnsi="宋体" w:eastAsia="宋体"/>
                <w:b/>
                <w:szCs w:val="21"/>
              </w:rPr>
              <w:t>价格分（40分）</w:t>
            </w:r>
          </w:p>
        </w:tc>
        <w:tc>
          <w:tcPr>
            <w:tcW w:w="6623" w:type="dxa"/>
            <w:vAlign w:val="center"/>
          </w:tcPr>
          <w:p w14:paraId="521CE9CB">
            <w:pPr>
              <w:jc w:val="left"/>
              <w:rPr>
                <w:rFonts w:hint="eastAsia" w:ascii="宋体" w:hAnsi="宋体" w:eastAsia="宋体"/>
                <w:szCs w:val="21"/>
              </w:rPr>
            </w:pPr>
            <w:r>
              <w:rPr>
                <w:rFonts w:hint="eastAsia" w:ascii="宋体" w:hAnsi="宋体" w:eastAsia="宋体"/>
                <w:szCs w:val="21"/>
              </w:rPr>
              <w:t>价格分采用低价优先法计算，即满足招标文件要求且报价最低的供应商报价为评标基准价，其价格分为满分40分，其它投标供应商的价格分统一按照以下公式计算：投标报价得分=(评标基准价/该投标供应商的投标报价)×40分。（保留两位小数）</w:t>
            </w:r>
          </w:p>
        </w:tc>
        <w:tc>
          <w:tcPr>
            <w:tcW w:w="658" w:type="dxa"/>
            <w:vAlign w:val="center"/>
          </w:tcPr>
          <w:p w14:paraId="3A42002A">
            <w:pPr>
              <w:jc w:val="center"/>
              <w:rPr>
                <w:rFonts w:hint="eastAsia" w:ascii="宋体" w:hAnsi="宋体" w:eastAsia="宋体"/>
                <w:szCs w:val="21"/>
              </w:rPr>
            </w:pPr>
            <w:r>
              <w:rPr>
                <w:rFonts w:hint="eastAsia" w:ascii="宋体" w:hAnsi="宋体" w:eastAsia="宋体"/>
                <w:szCs w:val="21"/>
              </w:rPr>
              <w:t>40</w:t>
            </w:r>
          </w:p>
        </w:tc>
      </w:tr>
      <w:tr w14:paraId="4A22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Merge w:val="restart"/>
            <w:vAlign w:val="center"/>
          </w:tcPr>
          <w:p w14:paraId="40E79B29">
            <w:pPr>
              <w:jc w:val="center"/>
              <w:rPr>
                <w:rFonts w:hint="eastAsia" w:ascii="宋体" w:hAnsi="宋体" w:eastAsia="宋体"/>
                <w:szCs w:val="21"/>
              </w:rPr>
            </w:pPr>
            <w:r>
              <w:rPr>
                <w:rFonts w:hint="eastAsia" w:ascii="宋体" w:hAnsi="宋体" w:eastAsia="宋体"/>
                <w:b/>
                <w:szCs w:val="21"/>
              </w:rPr>
              <w:t>技术响应及实施方案（</w:t>
            </w:r>
            <w:r>
              <w:rPr>
                <w:rFonts w:ascii="宋体" w:hAnsi="宋体" w:eastAsia="宋体"/>
                <w:b/>
                <w:szCs w:val="21"/>
              </w:rPr>
              <w:t>4</w:t>
            </w:r>
            <w:r>
              <w:rPr>
                <w:rFonts w:hint="eastAsia" w:ascii="宋体" w:hAnsi="宋体" w:eastAsia="宋体"/>
                <w:b/>
                <w:szCs w:val="21"/>
              </w:rPr>
              <w:t>8分）</w:t>
            </w:r>
          </w:p>
        </w:tc>
        <w:tc>
          <w:tcPr>
            <w:tcW w:w="565" w:type="dxa"/>
            <w:vAlign w:val="center"/>
          </w:tcPr>
          <w:p w14:paraId="10383AEE">
            <w:pPr>
              <w:jc w:val="center"/>
              <w:rPr>
                <w:rFonts w:hint="eastAsia" w:ascii="宋体" w:hAnsi="宋体" w:eastAsia="宋体"/>
                <w:szCs w:val="21"/>
              </w:rPr>
            </w:pPr>
            <w:r>
              <w:rPr>
                <w:rFonts w:hint="eastAsia" w:ascii="宋体" w:hAnsi="宋体" w:eastAsia="宋体"/>
                <w:szCs w:val="21"/>
              </w:rPr>
              <w:t>2.1</w:t>
            </w:r>
          </w:p>
        </w:tc>
        <w:tc>
          <w:tcPr>
            <w:tcW w:w="6623" w:type="dxa"/>
          </w:tcPr>
          <w:p w14:paraId="5636144D">
            <w:pPr>
              <w:rPr>
                <w:rFonts w:hint="eastAsia" w:ascii="宋体" w:hAnsi="宋体" w:eastAsia="宋体" w:cs="宋体"/>
                <w:kern w:val="0"/>
                <w:szCs w:val="21"/>
              </w:rPr>
            </w:pPr>
            <w:r>
              <w:rPr>
                <w:rFonts w:hint="eastAsia" w:ascii="宋体" w:hAnsi="宋体" w:eastAsia="宋体" w:cs="宋体"/>
                <w:b/>
                <w:kern w:val="0"/>
                <w:szCs w:val="21"/>
              </w:rPr>
              <w:t>技术指标</w:t>
            </w:r>
          </w:p>
          <w:p w14:paraId="5839776E">
            <w:pPr>
              <w:rPr>
                <w:rFonts w:hint="eastAsia" w:ascii="宋体" w:hAnsi="宋体" w:eastAsia="宋体"/>
                <w:szCs w:val="21"/>
              </w:rPr>
            </w:pPr>
            <w:r>
              <w:rPr>
                <w:rFonts w:hint="eastAsia" w:ascii="宋体" w:hAnsi="宋体" w:eastAsia="宋体" w:cs="宋体"/>
                <w:kern w:val="0"/>
                <w:szCs w:val="21"/>
              </w:rPr>
              <w:t>由评标委员会根据第四章采购需求“三、技术要求”</w:t>
            </w:r>
            <w:r>
              <w:rPr>
                <w:rFonts w:hint="eastAsia" w:ascii="宋体" w:hAnsi="宋体" w:eastAsia="宋体"/>
                <w:szCs w:val="21"/>
              </w:rPr>
              <w:t>响应情况</w:t>
            </w:r>
            <w:r>
              <w:rPr>
                <w:rFonts w:hint="eastAsia" w:ascii="宋体" w:hAnsi="宋体" w:eastAsia="宋体" w:cs="宋体"/>
                <w:kern w:val="0"/>
                <w:szCs w:val="21"/>
              </w:rPr>
              <w:t>进行打分，</w:t>
            </w:r>
            <w:r>
              <w:rPr>
                <w:rFonts w:hint="eastAsia" w:ascii="宋体" w:hAnsi="宋体" w:eastAsia="宋体"/>
                <w:szCs w:val="21"/>
              </w:rPr>
              <w:t>完全响应磋商</w:t>
            </w:r>
            <w:r>
              <w:rPr>
                <w:rFonts w:ascii="宋体" w:hAnsi="宋体" w:eastAsia="宋体"/>
                <w:szCs w:val="21"/>
              </w:rPr>
              <w:t>文件技术参数要求的得</w:t>
            </w:r>
            <w:r>
              <w:rPr>
                <w:rFonts w:hint="eastAsia" w:ascii="宋体" w:hAnsi="宋体" w:eastAsia="宋体"/>
                <w:szCs w:val="21"/>
              </w:rPr>
              <w:t>30</w:t>
            </w:r>
            <w:r>
              <w:rPr>
                <w:rFonts w:ascii="宋体" w:hAnsi="宋体" w:eastAsia="宋体"/>
                <w:szCs w:val="21"/>
              </w:rPr>
              <w:t>分</w:t>
            </w:r>
            <w:r>
              <w:rPr>
                <w:rFonts w:hint="eastAsia" w:ascii="宋体" w:hAnsi="宋体" w:eastAsia="宋体"/>
                <w:szCs w:val="21"/>
              </w:rPr>
              <w:t>；有</w:t>
            </w:r>
            <w:r>
              <w:rPr>
                <w:rFonts w:ascii="宋体" w:hAnsi="宋体" w:eastAsia="宋体"/>
                <w:szCs w:val="21"/>
              </w:rPr>
              <w:t>负偏离的</w:t>
            </w:r>
            <w:r>
              <w:rPr>
                <w:rFonts w:hint="eastAsia" w:ascii="宋体" w:hAnsi="宋体" w:eastAsia="宋体"/>
                <w:szCs w:val="21"/>
              </w:rPr>
              <w:t>，</w:t>
            </w:r>
            <w:r>
              <w:rPr>
                <w:rFonts w:ascii="宋体" w:hAnsi="宋体" w:eastAsia="宋体"/>
                <w:szCs w:val="21"/>
              </w:rPr>
              <w:t>每项扣</w:t>
            </w:r>
            <w:r>
              <w:rPr>
                <w:rFonts w:hint="eastAsia" w:ascii="宋体" w:hAnsi="宋体" w:eastAsia="宋体"/>
                <w:szCs w:val="21"/>
              </w:rPr>
              <w:t>1</w:t>
            </w:r>
            <w:r>
              <w:rPr>
                <w:rFonts w:ascii="宋体" w:hAnsi="宋体" w:eastAsia="宋体"/>
                <w:szCs w:val="21"/>
              </w:rPr>
              <w:t>分，扣完为止。</w:t>
            </w:r>
            <w:r>
              <w:rPr>
                <w:rFonts w:hint="eastAsia" w:ascii="宋体" w:hAnsi="宋体" w:eastAsia="宋体" w:cs="宋体"/>
                <w:kern w:val="0"/>
                <w:szCs w:val="21"/>
              </w:rPr>
              <w:t>供应商须逐条应答，未应答条目视为负偏离。</w:t>
            </w:r>
          </w:p>
        </w:tc>
        <w:tc>
          <w:tcPr>
            <w:tcW w:w="658" w:type="dxa"/>
            <w:vAlign w:val="center"/>
          </w:tcPr>
          <w:p w14:paraId="2FA78EEE">
            <w:pPr>
              <w:jc w:val="center"/>
              <w:rPr>
                <w:rFonts w:hint="eastAsia" w:ascii="宋体" w:hAnsi="宋体" w:eastAsia="宋体"/>
                <w:szCs w:val="21"/>
              </w:rPr>
            </w:pPr>
            <w:r>
              <w:rPr>
                <w:rFonts w:hint="eastAsia" w:ascii="宋体" w:hAnsi="宋体" w:eastAsia="宋体"/>
                <w:szCs w:val="21"/>
              </w:rPr>
              <w:t>30</w:t>
            </w:r>
          </w:p>
        </w:tc>
      </w:tr>
      <w:tr w14:paraId="0A50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6" w:type="dxa"/>
            <w:vMerge w:val="continue"/>
            <w:vAlign w:val="center"/>
          </w:tcPr>
          <w:p w14:paraId="3B5F3F91">
            <w:pPr>
              <w:jc w:val="center"/>
              <w:rPr>
                <w:rFonts w:hint="eastAsia" w:ascii="宋体" w:hAnsi="宋体" w:eastAsia="宋体"/>
                <w:szCs w:val="21"/>
              </w:rPr>
            </w:pPr>
          </w:p>
        </w:tc>
        <w:tc>
          <w:tcPr>
            <w:tcW w:w="565" w:type="dxa"/>
            <w:vAlign w:val="center"/>
          </w:tcPr>
          <w:p w14:paraId="50166289">
            <w:pPr>
              <w:jc w:val="center"/>
              <w:rPr>
                <w:rFonts w:hint="eastAsia" w:ascii="宋体" w:hAnsi="宋体" w:eastAsia="宋体"/>
                <w:szCs w:val="21"/>
              </w:rPr>
            </w:pPr>
            <w:r>
              <w:rPr>
                <w:rFonts w:hint="eastAsia" w:ascii="宋体" w:hAnsi="宋体" w:eastAsia="宋体"/>
                <w:szCs w:val="21"/>
              </w:rPr>
              <w:t>2.2</w:t>
            </w:r>
          </w:p>
        </w:tc>
        <w:tc>
          <w:tcPr>
            <w:tcW w:w="6623" w:type="dxa"/>
          </w:tcPr>
          <w:p w14:paraId="1F437693">
            <w:pPr>
              <w:rPr>
                <w:rFonts w:hint="eastAsia" w:ascii="宋体" w:hAnsi="宋体" w:eastAsia="宋体" w:cs="宋体"/>
                <w:b/>
                <w:kern w:val="0"/>
                <w:szCs w:val="21"/>
              </w:rPr>
            </w:pPr>
            <w:bookmarkStart w:id="8" w:name="_Toc503997260"/>
            <w:bookmarkStart w:id="9" w:name="_Toc508049164"/>
            <w:bookmarkStart w:id="10" w:name="_Toc500192420"/>
            <w:r>
              <w:rPr>
                <w:rFonts w:hint="eastAsia" w:ascii="宋体" w:hAnsi="宋体" w:eastAsia="宋体" w:cs="宋体"/>
                <w:b/>
                <w:kern w:val="0"/>
                <w:szCs w:val="21"/>
              </w:rPr>
              <w:t>项目实施方案</w:t>
            </w:r>
          </w:p>
          <w:p w14:paraId="05CEF8D7">
            <w:pPr>
              <w:rPr>
                <w:rFonts w:hint="eastAsia" w:ascii="宋体" w:hAnsi="宋体" w:eastAsia="宋体" w:cs="宋体"/>
                <w:b/>
                <w:kern w:val="0"/>
                <w:szCs w:val="21"/>
              </w:rPr>
            </w:pPr>
            <w:r>
              <w:rPr>
                <w:rFonts w:hint="eastAsia" w:ascii="宋体" w:hAnsi="宋体" w:eastAsia="宋体" w:cs="宋体"/>
                <w:kern w:val="0"/>
                <w:szCs w:val="21"/>
              </w:rPr>
              <w:t>根据投标人对本项目总体认识、</w:t>
            </w:r>
            <w:r>
              <w:rPr>
                <w:rFonts w:hint="eastAsia" w:ascii="宋体" w:hAnsi="宋体" w:eastAsia="宋体"/>
                <w:szCs w:val="21"/>
              </w:rPr>
              <w:t>项目管理、</w:t>
            </w:r>
            <w:r>
              <w:rPr>
                <w:rFonts w:hint="eastAsia" w:ascii="宋体" w:hAnsi="宋体" w:eastAsia="宋体" w:cs="宋体"/>
                <w:kern w:val="0"/>
                <w:szCs w:val="21"/>
              </w:rPr>
              <w:t>质量保证措施</w:t>
            </w:r>
            <w:r>
              <w:rPr>
                <w:rFonts w:hint="eastAsia" w:ascii="宋体" w:hAnsi="宋体" w:eastAsia="宋体"/>
                <w:szCs w:val="21"/>
              </w:rPr>
              <w:t>、组织部署、技术方案、</w:t>
            </w:r>
            <w:r>
              <w:rPr>
                <w:rFonts w:hint="eastAsia" w:ascii="宋体" w:hAnsi="宋体" w:eastAsia="宋体" w:cs="宋体"/>
                <w:bCs/>
                <w:szCs w:val="21"/>
              </w:rPr>
              <w:t>系统测试、</w:t>
            </w:r>
            <w:r>
              <w:rPr>
                <w:rFonts w:hint="eastAsia" w:ascii="宋体" w:hAnsi="宋体" w:eastAsia="宋体"/>
                <w:szCs w:val="21"/>
              </w:rPr>
              <w:t>人员配置、</w:t>
            </w:r>
            <w:r>
              <w:rPr>
                <w:rFonts w:hint="eastAsia" w:ascii="宋体" w:hAnsi="宋体" w:eastAsia="宋体" w:cs="宋体"/>
                <w:kern w:val="0"/>
                <w:szCs w:val="21"/>
              </w:rPr>
              <w:t>时间进度安排、安装调试及验收方案的合理性、科学性等进行比较评分，优秀的得5-6分；良好的得3-4分；一般的1-2分。</w:t>
            </w:r>
            <w:bookmarkEnd w:id="8"/>
            <w:bookmarkEnd w:id="9"/>
            <w:bookmarkEnd w:id="10"/>
          </w:p>
        </w:tc>
        <w:tc>
          <w:tcPr>
            <w:tcW w:w="658" w:type="dxa"/>
            <w:vAlign w:val="center"/>
          </w:tcPr>
          <w:p w14:paraId="702D0620">
            <w:pPr>
              <w:jc w:val="center"/>
              <w:rPr>
                <w:rFonts w:hint="eastAsia" w:ascii="宋体" w:hAnsi="宋体" w:eastAsia="宋体"/>
                <w:szCs w:val="21"/>
              </w:rPr>
            </w:pPr>
            <w:r>
              <w:rPr>
                <w:rFonts w:hint="eastAsia" w:ascii="宋体" w:hAnsi="宋体" w:eastAsia="宋体"/>
                <w:szCs w:val="21"/>
              </w:rPr>
              <w:t>6</w:t>
            </w:r>
          </w:p>
        </w:tc>
      </w:tr>
      <w:tr w14:paraId="244B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6" w:type="dxa"/>
            <w:vMerge w:val="continue"/>
            <w:vAlign w:val="center"/>
          </w:tcPr>
          <w:p w14:paraId="5F566E25">
            <w:pPr>
              <w:jc w:val="center"/>
              <w:rPr>
                <w:rFonts w:hint="eastAsia" w:ascii="宋体" w:hAnsi="宋体" w:eastAsia="宋体"/>
                <w:szCs w:val="21"/>
              </w:rPr>
            </w:pPr>
          </w:p>
        </w:tc>
        <w:tc>
          <w:tcPr>
            <w:tcW w:w="565" w:type="dxa"/>
            <w:vAlign w:val="center"/>
          </w:tcPr>
          <w:p w14:paraId="11CC5C68">
            <w:pPr>
              <w:jc w:val="center"/>
              <w:rPr>
                <w:rFonts w:hint="eastAsia" w:ascii="宋体" w:hAnsi="宋体" w:eastAsia="宋体"/>
                <w:szCs w:val="21"/>
              </w:rPr>
            </w:pPr>
            <w:r>
              <w:rPr>
                <w:rFonts w:hint="eastAsia" w:ascii="宋体" w:hAnsi="宋体" w:eastAsia="宋体"/>
                <w:szCs w:val="21"/>
              </w:rPr>
              <w:t>2.3</w:t>
            </w:r>
          </w:p>
        </w:tc>
        <w:tc>
          <w:tcPr>
            <w:tcW w:w="6623" w:type="dxa"/>
          </w:tcPr>
          <w:p w14:paraId="0EF4AFA7">
            <w:pPr>
              <w:pStyle w:val="52"/>
              <w:spacing w:before="0" w:beforeAutospacing="0" w:after="0" w:afterAutospacing="0"/>
              <w:jc w:val="both"/>
              <w:rPr>
                <w:rFonts w:hint="eastAsia"/>
                <w:b/>
                <w:sz w:val="21"/>
                <w:szCs w:val="21"/>
              </w:rPr>
            </w:pPr>
            <w:r>
              <w:rPr>
                <w:rFonts w:hint="eastAsia"/>
                <w:b/>
                <w:sz w:val="21"/>
                <w:szCs w:val="21"/>
              </w:rPr>
              <w:t>培训服务</w:t>
            </w:r>
          </w:p>
          <w:p w14:paraId="6801C8E3">
            <w:pPr>
              <w:pStyle w:val="52"/>
              <w:spacing w:before="0" w:beforeAutospacing="0" w:after="0" w:afterAutospacing="0"/>
              <w:jc w:val="both"/>
              <w:rPr>
                <w:rFonts w:hint="eastAsia" w:cs="Times New Roman"/>
                <w:b/>
                <w:kern w:val="2"/>
                <w:sz w:val="21"/>
                <w:szCs w:val="21"/>
              </w:rPr>
            </w:pPr>
            <w:r>
              <w:rPr>
                <w:rFonts w:hint="eastAsia"/>
                <w:sz w:val="21"/>
                <w:szCs w:val="21"/>
              </w:rPr>
              <w:t xml:space="preserve">对投标人提供的培训计划安排和承诺情况进行比较打分, </w:t>
            </w:r>
            <w:r>
              <w:rPr>
                <w:rFonts w:hint="eastAsia" w:cs="Times New Roman"/>
                <w:kern w:val="2"/>
                <w:sz w:val="21"/>
                <w:szCs w:val="21"/>
              </w:rPr>
              <w:t>优秀的得5-6分；良好的得3-4分；一般的1-2分。</w:t>
            </w:r>
          </w:p>
        </w:tc>
        <w:tc>
          <w:tcPr>
            <w:tcW w:w="658" w:type="dxa"/>
            <w:vAlign w:val="center"/>
          </w:tcPr>
          <w:p w14:paraId="278494C4">
            <w:pPr>
              <w:jc w:val="center"/>
              <w:rPr>
                <w:rFonts w:hint="eastAsia" w:ascii="宋体" w:hAnsi="宋体" w:eastAsia="宋体"/>
                <w:szCs w:val="21"/>
              </w:rPr>
            </w:pPr>
            <w:r>
              <w:rPr>
                <w:rFonts w:hint="eastAsia" w:ascii="宋体" w:hAnsi="宋体" w:eastAsia="宋体"/>
                <w:szCs w:val="21"/>
              </w:rPr>
              <w:t>6</w:t>
            </w:r>
          </w:p>
        </w:tc>
      </w:tr>
      <w:tr w14:paraId="6E0E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6" w:type="dxa"/>
            <w:vMerge w:val="continue"/>
            <w:vAlign w:val="center"/>
          </w:tcPr>
          <w:p w14:paraId="11516B04">
            <w:pPr>
              <w:jc w:val="center"/>
              <w:rPr>
                <w:rFonts w:hint="eastAsia" w:ascii="宋体" w:hAnsi="宋体" w:eastAsia="宋体"/>
                <w:szCs w:val="21"/>
              </w:rPr>
            </w:pPr>
          </w:p>
        </w:tc>
        <w:tc>
          <w:tcPr>
            <w:tcW w:w="565" w:type="dxa"/>
            <w:vAlign w:val="center"/>
          </w:tcPr>
          <w:p w14:paraId="7B834241">
            <w:pPr>
              <w:jc w:val="center"/>
              <w:rPr>
                <w:rFonts w:hint="eastAsia"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4</w:t>
            </w:r>
          </w:p>
        </w:tc>
        <w:tc>
          <w:tcPr>
            <w:tcW w:w="6623" w:type="dxa"/>
          </w:tcPr>
          <w:p w14:paraId="3B8DBE1A">
            <w:pPr>
              <w:pStyle w:val="52"/>
              <w:spacing w:before="0" w:beforeAutospacing="0" w:after="0" w:afterAutospacing="0"/>
              <w:jc w:val="both"/>
              <w:rPr>
                <w:rFonts w:hint="eastAsia" w:cs="Times New Roman"/>
                <w:b/>
                <w:kern w:val="2"/>
                <w:sz w:val="21"/>
                <w:szCs w:val="21"/>
              </w:rPr>
            </w:pPr>
            <w:r>
              <w:rPr>
                <w:rFonts w:hint="eastAsia" w:cs="Times New Roman"/>
                <w:b/>
                <w:kern w:val="2"/>
                <w:sz w:val="21"/>
                <w:szCs w:val="21"/>
              </w:rPr>
              <w:t>售后服务响应</w:t>
            </w:r>
          </w:p>
          <w:p w14:paraId="7591B497">
            <w:pPr>
              <w:pStyle w:val="52"/>
              <w:spacing w:before="0" w:beforeAutospacing="0" w:after="0" w:afterAutospacing="0"/>
              <w:jc w:val="both"/>
              <w:rPr>
                <w:rFonts w:hint="eastAsia" w:cs="Times New Roman"/>
                <w:b/>
                <w:kern w:val="2"/>
                <w:sz w:val="21"/>
                <w:szCs w:val="21"/>
              </w:rPr>
            </w:pPr>
            <w:r>
              <w:rPr>
                <w:rFonts w:hint="eastAsia" w:cs="Times New Roman"/>
                <w:kern w:val="2"/>
                <w:sz w:val="21"/>
                <w:szCs w:val="21"/>
              </w:rPr>
              <w:t>根据投标文件中有关服务承诺说明进行评分，包括售后服务体系、</w:t>
            </w:r>
            <w:r>
              <w:rPr>
                <w:rFonts w:cs="Times New Roman"/>
                <w:kern w:val="2"/>
                <w:sz w:val="21"/>
                <w:szCs w:val="21"/>
              </w:rPr>
              <w:t>日常维护方案</w:t>
            </w:r>
            <w:r>
              <w:rPr>
                <w:rFonts w:hint="eastAsia" w:cs="Times New Roman"/>
                <w:kern w:val="2"/>
                <w:sz w:val="21"/>
                <w:szCs w:val="21"/>
              </w:rPr>
              <w:t>、服务范围、响应时间、故障解决方案、应急处理方案、专业技术人员保障等，优秀的得5-6分；良好的得3-4分；一般的1-2分。</w:t>
            </w:r>
          </w:p>
        </w:tc>
        <w:tc>
          <w:tcPr>
            <w:tcW w:w="658" w:type="dxa"/>
            <w:vAlign w:val="center"/>
          </w:tcPr>
          <w:p w14:paraId="71CA0428">
            <w:pPr>
              <w:jc w:val="center"/>
              <w:rPr>
                <w:rFonts w:hint="eastAsia" w:ascii="宋体" w:hAnsi="宋体" w:eastAsia="宋体"/>
                <w:szCs w:val="21"/>
              </w:rPr>
            </w:pPr>
            <w:r>
              <w:rPr>
                <w:rFonts w:hint="eastAsia" w:ascii="宋体" w:hAnsi="宋体" w:eastAsia="宋体"/>
                <w:szCs w:val="21"/>
              </w:rPr>
              <w:t>6</w:t>
            </w:r>
          </w:p>
        </w:tc>
      </w:tr>
      <w:tr w14:paraId="2A9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66" w:type="dxa"/>
            <w:vMerge w:val="restart"/>
            <w:vAlign w:val="center"/>
          </w:tcPr>
          <w:p w14:paraId="391581E9">
            <w:pPr>
              <w:pStyle w:val="517"/>
              <w:tabs>
                <w:tab w:val="left" w:pos="567"/>
              </w:tabs>
              <w:ind w:firstLine="0" w:firstLineChars="0"/>
              <w:jc w:val="center"/>
              <w:rPr>
                <w:rFonts w:hint="eastAsia"/>
                <w:b/>
                <w:szCs w:val="21"/>
              </w:rPr>
            </w:pPr>
            <w:r>
              <w:rPr>
                <w:rFonts w:hint="eastAsia"/>
                <w:b/>
                <w:szCs w:val="21"/>
              </w:rPr>
              <w:t>企业综合实力（12分）</w:t>
            </w:r>
          </w:p>
        </w:tc>
        <w:tc>
          <w:tcPr>
            <w:tcW w:w="565" w:type="dxa"/>
            <w:vAlign w:val="center"/>
          </w:tcPr>
          <w:p w14:paraId="0925944D">
            <w:pPr>
              <w:jc w:val="center"/>
              <w:rPr>
                <w:rFonts w:hint="eastAsia" w:ascii="宋体" w:hAnsi="宋体" w:eastAsia="宋体"/>
                <w:szCs w:val="21"/>
              </w:rPr>
            </w:pPr>
            <w:r>
              <w:rPr>
                <w:rFonts w:hint="eastAsia" w:ascii="宋体" w:hAnsi="宋体" w:eastAsia="宋体"/>
                <w:szCs w:val="21"/>
              </w:rPr>
              <w:t>3.1</w:t>
            </w:r>
          </w:p>
        </w:tc>
        <w:tc>
          <w:tcPr>
            <w:tcW w:w="6623" w:type="dxa"/>
          </w:tcPr>
          <w:p w14:paraId="63B4167A">
            <w:pPr>
              <w:rPr>
                <w:rFonts w:hint="eastAsia" w:ascii="宋体" w:hAnsi="宋体" w:eastAsia="宋体"/>
                <w:b/>
                <w:szCs w:val="21"/>
              </w:rPr>
            </w:pPr>
            <w:r>
              <w:rPr>
                <w:rFonts w:hint="eastAsia" w:ascii="宋体" w:hAnsi="宋体" w:eastAsia="宋体"/>
                <w:b/>
                <w:szCs w:val="21"/>
              </w:rPr>
              <w:t>企业资质</w:t>
            </w:r>
          </w:p>
          <w:p w14:paraId="48F6E395">
            <w:pPr>
              <w:rPr>
                <w:rFonts w:hint="eastAsia" w:ascii="宋体" w:hAnsi="宋体" w:eastAsia="宋体"/>
                <w:szCs w:val="21"/>
              </w:rPr>
            </w:pPr>
            <w:r>
              <w:rPr>
                <w:rFonts w:hint="eastAsia" w:ascii="宋体" w:hAnsi="宋体" w:eastAsia="宋体"/>
                <w:szCs w:val="21"/>
              </w:rPr>
              <w:t>（1）</w:t>
            </w:r>
            <w:r>
              <w:rPr>
                <w:rFonts w:hint="eastAsia" w:ascii="宋体" w:hAnsi="宋体" w:eastAsia="宋体" w:cstheme="minorEastAsia"/>
                <w:kern w:val="0"/>
                <w:szCs w:val="21"/>
              </w:rPr>
              <w:t>投标人具有ISO9001质量管理体系认证的，得</w:t>
            </w:r>
            <w:r>
              <w:rPr>
                <w:rFonts w:hint="eastAsia" w:ascii="宋体" w:hAnsi="宋体" w:eastAsia="宋体"/>
                <w:szCs w:val="21"/>
              </w:rPr>
              <w:t>2分；</w:t>
            </w:r>
          </w:p>
          <w:p w14:paraId="0ECF1F57">
            <w:pPr>
              <w:rPr>
                <w:rFonts w:hint="eastAsia" w:ascii="宋体" w:hAnsi="宋体" w:eastAsia="宋体"/>
                <w:szCs w:val="21"/>
              </w:rPr>
            </w:pPr>
            <w:r>
              <w:rPr>
                <w:rFonts w:hint="eastAsia" w:ascii="宋体" w:hAnsi="宋体" w:eastAsia="宋体"/>
                <w:szCs w:val="21"/>
              </w:rPr>
              <w:t>（2）投标人具有ISO27001信息安全管理体系认证证书的的得2分；</w:t>
            </w:r>
          </w:p>
          <w:p w14:paraId="7335FD90">
            <w:pPr>
              <w:rPr>
                <w:rFonts w:hint="eastAsia" w:ascii="宋体" w:hAnsi="宋体" w:eastAsia="宋体"/>
                <w:bCs/>
                <w:szCs w:val="21"/>
              </w:rPr>
            </w:pPr>
            <w:r>
              <w:rPr>
                <w:rFonts w:hint="eastAsia" w:ascii="宋体" w:hAnsi="宋体" w:eastAsia="宋体"/>
                <w:szCs w:val="21"/>
              </w:rPr>
              <w:t>（须提供证书复印件加盖公章）</w:t>
            </w:r>
          </w:p>
        </w:tc>
        <w:tc>
          <w:tcPr>
            <w:tcW w:w="658" w:type="dxa"/>
            <w:vAlign w:val="center"/>
          </w:tcPr>
          <w:p w14:paraId="794D6E9A">
            <w:pPr>
              <w:jc w:val="center"/>
              <w:rPr>
                <w:rFonts w:hint="eastAsia" w:ascii="宋体" w:hAnsi="宋体" w:eastAsia="宋体"/>
                <w:szCs w:val="21"/>
              </w:rPr>
            </w:pPr>
            <w:r>
              <w:rPr>
                <w:rFonts w:hint="eastAsia" w:ascii="宋体" w:hAnsi="宋体" w:eastAsia="宋体"/>
                <w:szCs w:val="21"/>
              </w:rPr>
              <w:t>4</w:t>
            </w:r>
          </w:p>
        </w:tc>
      </w:tr>
      <w:tr w14:paraId="1975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66" w:type="dxa"/>
            <w:vMerge w:val="continue"/>
            <w:vAlign w:val="center"/>
          </w:tcPr>
          <w:p w14:paraId="418E59C5">
            <w:pPr>
              <w:pStyle w:val="517"/>
              <w:tabs>
                <w:tab w:val="left" w:pos="567"/>
              </w:tabs>
              <w:ind w:firstLine="442"/>
              <w:rPr>
                <w:rFonts w:hint="eastAsia"/>
                <w:b/>
                <w:szCs w:val="21"/>
              </w:rPr>
            </w:pPr>
          </w:p>
        </w:tc>
        <w:tc>
          <w:tcPr>
            <w:tcW w:w="565" w:type="dxa"/>
            <w:vAlign w:val="center"/>
          </w:tcPr>
          <w:p w14:paraId="0D16A37A">
            <w:pPr>
              <w:jc w:val="center"/>
              <w:rPr>
                <w:rFonts w:hint="eastAsia" w:ascii="宋体" w:hAnsi="宋体" w:eastAsia="宋体"/>
                <w:szCs w:val="21"/>
              </w:rPr>
            </w:pPr>
            <w:r>
              <w:rPr>
                <w:rFonts w:hint="eastAsia" w:ascii="宋体" w:hAnsi="宋体" w:eastAsia="宋体"/>
                <w:szCs w:val="21"/>
              </w:rPr>
              <w:t>3.2</w:t>
            </w:r>
          </w:p>
        </w:tc>
        <w:tc>
          <w:tcPr>
            <w:tcW w:w="6623" w:type="dxa"/>
          </w:tcPr>
          <w:p w14:paraId="490B84BB">
            <w:pPr>
              <w:pStyle w:val="556"/>
              <w:rPr>
                <w:rFonts w:hint="eastAsia" w:cstheme="minorEastAsia"/>
                <w:b/>
                <w:color w:val="auto"/>
                <w:sz w:val="21"/>
                <w:szCs w:val="21"/>
              </w:rPr>
            </w:pPr>
            <w:r>
              <w:rPr>
                <w:rFonts w:hint="eastAsia" w:cstheme="minorEastAsia"/>
                <w:b/>
                <w:color w:val="auto"/>
                <w:sz w:val="21"/>
                <w:szCs w:val="21"/>
              </w:rPr>
              <w:t>项目负责人</w:t>
            </w:r>
          </w:p>
          <w:p w14:paraId="388A28AE">
            <w:pPr>
              <w:pStyle w:val="556"/>
              <w:rPr>
                <w:rFonts w:hint="eastAsia" w:cstheme="minorEastAsia"/>
                <w:color w:val="auto"/>
                <w:kern w:val="0"/>
                <w:sz w:val="21"/>
                <w:szCs w:val="21"/>
              </w:rPr>
            </w:pPr>
            <w:r>
              <w:rPr>
                <w:rFonts w:hint="eastAsia" w:cstheme="minorEastAsia"/>
                <w:color w:val="auto"/>
                <w:kern w:val="0"/>
                <w:sz w:val="21"/>
                <w:szCs w:val="21"/>
              </w:rPr>
              <w:t>本项目拟安排的项目经理具有信息类中级技术职称及以上的，得1分；具有项目管理师证书的，得1分；本项最高得2分。</w:t>
            </w:r>
          </w:p>
          <w:p w14:paraId="27477F3E">
            <w:pPr>
              <w:adjustRightInd w:val="0"/>
              <w:rPr>
                <w:rFonts w:hint="eastAsia" w:ascii="宋体" w:hAnsi="宋体" w:eastAsia="宋体"/>
                <w:szCs w:val="21"/>
              </w:rPr>
            </w:pPr>
            <w:r>
              <w:rPr>
                <w:rFonts w:hint="eastAsia" w:ascii="宋体" w:hAnsi="宋体" w:eastAsia="宋体" w:cstheme="minorEastAsia"/>
                <w:kern w:val="0"/>
                <w:szCs w:val="21"/>
              </w:rPr>
              <w:t>（须提供证书及近3个月内任一月投标人为其缴纳社保的证明材料复印件）</w:t>
            </w:r>
          </w:p>
        </w:tc>
        <w:tc>
          <w:tcPr>
            <w:tcW w:w="658" w:type="dxa"/>
            <w:vAlign w:val="center"/>
          </w:tcPr>
          <w:p w14:paraId="7CE933CE">
            <w:pPr>
              <w:jc w:val="center"/>
              <w:rPr>
                <w:rFonts w:hint="eastAsia" w:ascii="宋体" w:hAnsi="宋体" w:eastAsia="宋体"/>
                <w:szCs w:val="21"/>
              </w:rPr>
            </w:pPr>
            <w:r>
              <w:rPr>
                <w:rFonts w:ascii="宋体" w:hAnsi="宋体" w:eastAsia="宋体"/>
                <w:szCs w:val="21"/>
              </w:rPr>
              <w:t>2</w:t>
            </w:r>
          </w:p>
        </w:tc>
      </w:tr>
      <w:tr w14:paraId="6B09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66" w:type="dxa"/>
            <w:vMerge w:val="continue"/>
            <w:vAlign w:val="center"/>
          </w:tcPr>
          <w:p w14:paraId="44464881">
            <w:pPr>
              <w:pStyle w:val="517"/>
              <w:tabs>
                <w:tab w:val="left" w:pos="567"/>
              </w:tabs>
              <w:ind w:firstLine="0" w:firstLineChars="0"/>
              <w:rPr>
                <w:rFonts w:hint="eastAsia"/>
                <w:b/>
                <w:szCs w:val="21"/>
              </w:rPr>
            </w:pPr>
          </w:p>
        </w:tc>
        <w:tc>
          <w:tcPr>
            <w:tcW w:w="565" w:type="dxa"/>
            <w:vAlign w:val="center"/>
          </w:tcPr>
          <w:p w14:paraId="5758635D">
            <w:pPr>
              <w:jc w:val="center"/>
              <w:rPr>
                <w:rFonts w:hint="eastAsia" w:ascii="宋体" w:hAnsi="宋体" w:eastAsia="宋体"/>
                <w:szCs w:val="21"/>
              </w:rPr>
            </w:pPr>
            <w:r>
              <w:rPr>
                <w:rFonts w:hint="eastAsia" w:ascii="宋体" w:hAnsi="宋体" w:eastAsia="宋体"/>
                <w:szCs w:val="21"/>
              </w:rPr>
              <w:t>3.3</w:t>
            </w:r>
          </w:p>
        </w:tc>
        <w:tc>
          <w:tcPr>
            <w:tcW w:w="6623" w:type="dxa"/>
          </w:tcPr>
          <w:p w14:paraId="585B5478">
            <w:pPr>
              <w:rPr>
                <w:rFonts w:hint="eastAsia" w:ascii="宋体" w:hAnsi="宋体" w:eastAsia="宋体"/>
                <w:b/>
                <w:szCs w:val="21"/>
              </w:rPr>
            </w:pPr>
            <w:r>
              <w:rPr>
                <w:rFonts w:hint="eastAsia" w:ascii="宋体" w:hAnsi="宋体" w:eastAsia="宋体"/>
                <w:b/>
                <w:szCs w:val="21"/>
              </w:rPr>
              <w:t>经营业绩</w:t>
            </w:r>
          </w:p>
          <w:p w14:paraId="74E8D334">
            <w:pPr>
              <w:rPr>
                <w:rFonts w:hint="eastAsia" w:ascii="宋体" w:hAnsi="宋体" w:eastAsia="宋体"/>
                <w:szCs w:val="21"/>
              </w:rPr>
            </w:pPr>
            <w:r>
              <w:rPr>
                <w:rFonts w:hint="eastAsia" w:ascii="宋体" w:hAnsi="宋体" w:eastAsia="宋体"/>
                <w:szCs w:val="21"/>
              </w:rPr>
              <w:t>近三年投标人实施的类似网络设备供货及安装集成案例，每提供一份合同得2分，最高得6分。</w:t>
            </w:r>
          </w:p>
          <w:p w14:paraId="22FB6BBA">
            <w:pPr>
              <w:rPr>
                <w:rFonts w:hint="eastAsia" w:ascii="宋体" w:hAnsi="宋体" w:eastAsia="宋体"/>
                <w:szCs w:val="21"/>
              </w:rPr>
            </w:pPr>
            <w:r>
              <w:rPr>
                <w:rFonts w:hint="eastAsia" w:ascii="宋体" w:hAnsi="宋体" w:eastAsia="宋体"/>
                <w:szCs w:val="21"/>
              </w:rPr>
              <w:t>（须提供合同复印件加盖公章）</w:t>
            </w:r>
          </w:p>
        </w:tc>
        <w:tc>
          <w:tcPr>
            <w:tcW w:w="658" w:type="dxa"/>
            <w:vAlign w:val="center"/>
          </w:tcPr>
          <w:p w14:paraId="22607F89">
            <w:pPr>
              <w:jc w:val="center"/>
              <w:rPr>
                <w:rFonts w:hint="eastAsia" w:ascii="宋体" w:hAnsi="宋体" w:eastAsia="宋体"/>
                <w:szCs w:val="21"/>
              </w:rPr>
            </w:pPr>
            <w:r>
              <w:rPr>
                <w:rFonts w:hint="eastAsia" w:ascii="宋体" w:hAnsi="宋体" w:eastAsia="宋体"/>
                <w:szCs w:val="21"/>
              </w:rPr>
              <w:t>6</w:t>
            </w:r>
          </w:p>
        </w:tc>
      </w:tr>
    </w:tbl>
    <w:p w14:paraId="325EB4EB">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1" w:name="_Toc48546591"/>
      <w:bookmarkStart w:id="12" w:name="_Toc65592703"/>
      <w:bookmarkStart w:id="13" w:name="_Toc179553570"/>
      <w:r>
        <w:rPr>
          <w:rFonts w:hint="eastAsia" w:ascii="宋体" w:hAnsi="宋体" w:eastAsia="宋体" w:cs="宋体"/>
          <w:b/>
          <w:bCs/>
          <w:kern w:val="0"/>
          <w:sz w:val="36"/>
          <w:szCs w:val="36"/>
        </w:rPr>
        <w:t xml:space="preserve">第四章 </w:t>
      </w:r>
      <w:bookmarkEnd w:id="11"/>
      <w:bookmarkEnd w:id="12"/>
      <w:bookmarkEnd w:id="13"/>
      <w:r>
        <w:rPr>
          <w:rFonts w:hint="eastAsia" w:ascii="宋体" w:hAnsi="宋体" w:eastAsia="宋体" w:cs="宋体"/>
          <w:b/>
          <w:bCs/>
          <w:kern w:val="0"/>
          <w:sz w:val="36"/>
          <w:szCs w:val="36"/>
        </w:rPr>
        <w:t>项目需求</w:t>
      </w:r>
    </w:p>
    <w:p w14:paraId="412016D3">
      <w:pPr>
        <w:adjustRightInd w:val="0"/>
        <w:snapToGrid w:val="0"/>
        <w:spacing w:line="360" w:lineRule="auto"/>
        <w:rPr>
          <w:rFonts w:hint="eastAsia" w:ascii="宋体" w:hAnsi="宋体" w:eastAsia="宋体"/>
          <w:b/>
          <w:bCs/>
          <w:sz w:val="24"/>
          <w:szCs w:val="24"/>
        </w:rPr>
      </w:pPr>
      <w:bookmarkStart w:id="14" w:name="_Toc201826040"/>
      <w:r>
        <w:rPr>
          <w:rFonts w:hint="eastAsia" w:ascii="宋体" w:hAnsi="宋体" w:eastAsia="宋体"/>
          <w:b/>
          <w:bCs/>
          <w:sz w:val="24"/>
          <w:szCs w:val="24"/>
        </w:rPr>
        <w:t>一、采购</w:t>
      </w:r>
      <w:bookmarkStart w:id="15" w:name="_Toc63407276"/>
      <w:r>
        <w:rPr>
          <w:rFonts w:hint="eastAsia" w:ascii="宋体" w:hAnsi="宋体" w:eastAsia="宋体"/>
          <w:b/>
          <w:bCs/>
          <w:sz w:val="24"/>
          <w:szCs w:val="24"/>
        </w:rPr>
        <w:t>清单</w:t>
      </w:r>
      <w:bookmarkEnd w:id="14"/>
      <w:bookmarkEnd w:id="15"/>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4111"/>
        <w:gridCol w:w="992"/>
        <w:gridCol w:w="992"/>
      </w:tblGrid>
      <w:tr w14:paraId="41FB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846" w:type="dxa"/>
            <w:vAlign w:val="center"/>
          </w:tcPr>
          <w:p w14:paraId="1EF1998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111" w:type="dxa"/>
            <w:vAlign w:val="center"/>
          </w:tcPr>
          <w:p w14:paraId="359C0D9D">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992" w:type="dxa"/>
            <w:vAlign w:val="center"/>
          </w:tcPr>
          <w:p w14:paraId="3EC308A4">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992" w:type="dxa"/>
            <w:vAlign w:val="center"/>
          </w:tcPr>
          <w:p w14:paraId="5B2F55CA">
            <w:pPr>
              <w:jc w:val="center"/>
              <w:rPr>
                <w:rFonts w:hint="eastAsia" w:ascii="宋体" w:hAnsi="宋体" w:eastAsia="宋体" w:cs="宋体"/>
                <w:sz w:val="24"/>
                <w:szCs w:val="24"/>
              </w:rPr>
            </w:pPr>
            <w:r>
              <w:rPr>
                <w:rFonts w:hint="eastAsia" w:ascii="宋体" w:hAnsi="宋体" w:eastAsia="宋体" w:cs="宋体"/>
                <w:sz w:val="24"/>
                <w:szCs w:val="24"/>
              </w:rPr>
              <w:t>单位</w:t>
            </w:r>
          </w:p>
        </w:tc>
      </w:tr>
      <w:tr w14:paraId="14D8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46" w:type="dxa"/>
            <w:vAlign w:val="center"/>
          </w:tcPr>
          <w:p w14:paraId="5943AE56">
            <w:pPr>
              <w:jc w:val="center"/>
              <w:rPr>
                <w:rFonts w:hint="eastAsia" w:ascii="宋体" w:hAnsi="宋体" w:eastAsia="宋体" w:cs="宋体"/>
                <w:sz w:val="24"/>
                <w:szCs w:val="24"/>
              </w:rPr>
            </w:pPr>
            <w:r>
              <w:rPr>
                <w:rFonts w:hint="eastAsia" w:ascii="宋体" w:hAnsi="宋体" w:eastAsia="宋体" w:cs="宋体"/>
                <w:sz w:val="24"/>
                <w:szCs w:val="24"/>
              </w:rPr>
              <w:t>1</w:t>
            </w:r>
          </w:p>
        </w:tc>
        <w:tc>
          <w:tcPr>
            <w:tcW w:w="4111" w:type="dxa"/>
            <w:vAlign w:val="center"/>
          </w:tcPr>
          <w:p w14:paraId="14840FB5">
            <w:pPr>
              <w:jc w:val="center"/>
              <w:rPr>
                <w:rFonts w:hint="eastAsia" w:ascii="宋体" w:hAnsi="宋体" w:eastAsia="宋体" w:cs="宋体"/>
                <w:sz w:val="24"/>
                <w:szCs w:val="24"/>
              </w:rPr>
            </w:pPr>
            <w:r>
              <w:rPr>
                <w:rFonts w:hint="eastAsia" w:ascii="宋体" w:hAnsi="宋体" w:eastAsia="宋体" w:cs="宋体"/>
                <w:sz w:val="24"/>
                <w:szCs w:val="24"/>
              </w:rPr>
              <w:t>资源访问控制系统</w:t>
            </w:r>
          </w:p>
        </w:tc>
        <w:tc>
          <w:tcPr>
            <w:tcW w:w="992" w:type="dxa"/>
            <w:vAlign w:val="center"/>
          </w:tcPr>
          <w:p w14:paraId="295B4CE6">
            <w:pPr>
              <w:jc w:val="center"/>
              <w:rPr>
                <w:rFonts w:hint="eastAsia" w:ascii="宋体" w:hAnsi="宋体" w:eastAsia="宋体" w:cs="宋体"/>
                <w:sz w:val="24"/>
                <w:szCs w:val="24"/>
              </w:rPr>
            </w:pPr>
            <w:r>
              <w:rPr>
                <w:rFonts w:ascii="宋体" w:hAnsi="宋体" w:eastAsia="宋体" w:cs="宋体"/>
                <w:sz w:val="24"/>
                <w:szCs w:val="24"/>
              </w:rPr>
              <w:t>1</w:t>
            </w:r>
          </w:p>
        </w:tc>
        <w:tc>
          <w:tcPr>
            <w:tcW w:w="992" w:type="dxa"/>
            <w:vAlign w:val="center"/>
          </w:tcPr>
          <w:p w14:paraId="2EA1EB99">
            <w:pPr>
              <w:jc w:val="center"/>
              <w:rPr>
                <w:rFonts w:hint="eastAsia" w:ascii="宋体" w:hAnsi="宋体" w:eastAsia="宋体" w:cs="宋体"/>
                <w:sz w:val="24"/>
                <w:szCs w:val="24"/>
              </w:rPr>
            </w:pPr>
            <w:r>
              <w:rPr>
                <w:rFonts w:hint="eastAsia" w:ascii="宋体" w:hAnsi="宋体" w:eastAsia="宋体" w:cs="宋体"/>
                <w:sz w:val="24"/>
                <w:szCs w:val="24"/>
              </w:rPr>
              <w:t>套</w:t>
            </w:r>
          </w:p>
        </w:tc>
      </w:tr>
    </w:tbl>
    <w:p w14:paraId="3D1E917C">
      <w:pPr>
        <w:adjustRightInd w:val="0"/>
        <w:snapToGrid w:val="0"/>
        <w:spacing w:line="360" w:lineRule="auto"/>
        <w:rPr>
          <w:rFonts w:hint="eastAsia" w:ascii="宋体" w:hAnsi="宋体" w:eastAsia="宋体"/>
          <w:b/>
          <w:bCs/>
          <w:sz w:val="24"/>
          <w:szCs w:val="24"/>
        </w:rPr>
      </w:pPr>
    </w:p>
    <w:p w14:paraId="0B8E16D3">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二、建设目标</w:t>
      </w:r>
    </w:p>
    <w:p w14:paraId="0116C83C">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1、提供便捷的校外访问方式，校外访问内网资源时无需客户端与插件，避免接入问题；</w:t>
      </w:r>
    </w:p>
    <w:p w14:paraId="620C49B0">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2、支持电脑、手机、Pad等各类终端；</w:t>
      </w:r>
    </w:p>
    <w:p w14:paraId="0C73BF0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3、需支持多种访问协议，（</w:t>
      </w:r>
      <w:r>
        <w:rPr>
          <w:rFonts w:ascii="宋体" w:hAnsi="宋体" w:eastAsia="宋体"/>
          <w:sz w:val="24"/>
          <w:szCs w:val="24"/>
        </w:rPr>
        <w:t>HTTP</w:t>
      </w:r>
      <w:r>
        <w:rPr>
          <w:rFonts w:hint="eastAsia" w:ascii="宋体" w:hAnsi="宋体" w:eastAsia="宋体"/>
          <w:sz w:val="24"/>
          <w:szCs w:val="24"/>
        </w:rPr>
        <w:t>、</w:t>
      </w:r>
      <w:r>
        <w:rPr>
          <w:rFonts w:ascii="宋体" w:hAnsi="宋体" w:eastAsia="宋体"/>
          <w:sz w:val="24"/>
          <w:szCs w:val="24"/>
        </w:rPr>
        <w:t>HTTPS</w:t>
      </w:r>
      <w:r>
        <w:rPr>
          <w:rFonts w:hint="eastAsia" w:ascii="宋体" w:hAnsi="宋体" w:eastAsia="宋体"/>
          <w:sz w:val="24"/>
          <w:szCs w:val="24"/>
        </w:rPr>
        <w:t>、</w:t>
      </w:r>
      <w:r>
        <w:rPr>
          <w:rFonts w:ascii="宋体" w:hAnsi="宋体" w:eastAsia="宋体"/>
          <w:sz w:val="24"/>
          <w:szCs w:val="24"/>
        </w:rPr>
        <w:t>SSH</w:t>
      </w:r>
      <w:r>
        <w:rPr>
          <w:rFonts w:hint="eastAsia" w:ascii="宋体" w:hAnsi="宋体" w:eastAsia="宋体"/>
          <w:sz w:val="24"/>
          <w:szCs w:val="24"/>
        </w:rPr>
        <w:t>、</w:t>
      </w:r>
      <w:r>
        <w:rPr>
          <w:rFonts w:ascii="宋体" w:hAnsi="宋体" w:eastAsia="宋体"/>
          <w:sz w:val="24"/>
          <w:szCs w:val="24"/>
        </w:rPr>
        <w:t>Telnet</w:t>
      </w:r>
      <w:r>
        <w:rPr>
          <w:rFonts w:hint="eastAsia" w:ascii="宋体" w:hAnsi="宋体" w:eastAsia="宋体"/>
          <w:sz w:val="24"/>
          <w:szCs w:val="24"/>
        </w:rPr>
        <w:t>、</w:t>
      </w:r>
      <w:r>
        <w:rPr>
          <w:rFonts w:ascii="宋体" w:hAnsi="宋体" w:eastAsia="宋体"/>
          <w:sz w:val="24"/>
          <w:szCs w:val="24"/>
        </w:rPr>
        <w:t>RDP</w:t>
      </w:r>
      <w:r>
        <w:rPr>
          <w:rFonts w:hint="eastAsia" w:ascii="宋体" w:hAnsi="宋体" w:eastAsia="宋体"/>
          <w:sz w:val="24"/>
          <w:szCs w:val="24"/>
        </w:rPr>
        <w:t>、</w:t>
      </w:r>
      <w:r>
        <w:rPr>
          <w:rFonts w:ascii="宋体" w:hAnsi="宋体" w:eastAsia="宋体"/>
          <w:sz w:val="24"/>
          <w:szCs w:val="24"/>
        </w:rPr>
        <w:t>VNC</w:t>
      </w:r>
      <w:r>
        <w:rPr>
          <w:rFonts w:hint="eastAsia" w:ascii="宋体" w:hAnsi="宋体" w:eastAsia="宋体"/>
          <w:sz w:val="24"/>
          <w:szCs w:val="24"/>
        </w:rPr>
        <w:t>等），可通过系统访问校内Web业务系统、图书馆电子资源、Linux</w:t>
      </w:r>
      <w:r>
        <w:rPr>
          <w:rFonts w:ascii="宋体" w:hAnsi="宋体" w:eastAsia="宋体"/>
          <w:sz w:val="24"/>
          <w:szCs w:val="24"/>
        </w:rPr>
        <w:t>/W</w:t>
      </w:r>
      <w:r>
        <w:rPr>
          <w:rFonts w:hint="eastAsia" w:ascii="宋体" w:hAnsi="宋体" w:eastAsia="宋体"/>
          <w:sz w:val="24"/>
          <w:szCs w:val="24"/>
        </w:rPr>
        <w:t>indows主机、网络设备等各类资源；</w:t>
      </w:r>
    </w:p>
    <w:p w14:paraId="4F73550A">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4、访问内网资源时对链接进行加密操作，防止内网资源I</w:t>
      </w:r>
      <w:r>
        <w:rPr>
          <w:rFonts w:ascii="宋体" w:hAnsi="宋体" w:eastAsia="宋体"/>
          <w:sz w:val="24"/>
          <w:szCs w:val="24"/>
        </w:rPr>
        <w:t>P</w:t>
      </w:r>
      <w:r>
        <w:rPr>
          <w:rFonts w:hint="eastAsia" w:ascii="宋体" w:hAnsi="宋体" w:eastAsia="宋体"/>
          <w:sz w:val="24"/>
          <w:szCs w:val="24"/>
        </w:rPr>
        <w:t>及域名暴露，避免安全隐患；</w:t>
      </w:r>
    </w:p>
    <w:p w14:paraId="16924C0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5、可控制用户访问权限，只可访问授信资源，保证内网资源安全；</w:t>
      </w:r>
    </w:p>
    <w:p w14:paraId="057AA75F">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6、可对接校内统一身份认证系统，实现单点登录；</w:t>
      </w:r>
    </w:p>
    <w:p w14:paraId="4D73954B">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7、可自定义个性化门户，登录后直接跳转至校内原有门户，保留用户使用习惯；</w:t>
      </w:r>
    </w:p>
    <w:p w14:paraId="66333769">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8、记录全量操作日志，方便回溯查询。可进行操作及管理。操作过程全录屏记录，可追溯可查询。</w:t>
      </w:r>
    </w:p>
    <w:p w14:paraId="33CB346E">
      <w:pPr>
        <w:adjustRightInd w:val="0"/>
        <w:snapToGrid w:val="0"/>
        <w:spacing w:line="360" w:lineRule="auto"/>
        <w:rPr>
          <w:rFonts w:hint="eastAsia" w:ascii="宋体" w:hAnsi="宋体" w:eastAsia="宋体"/>
          <w:b/>
          <w:bCs/>
          <w:sz w:val="24"/>
          <w:szCs w:val="24"/>
        </w:rPr>
      </w:pPr>
    </w:p>
    <w:p w14:paraId="5D18367E">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三、技术要求</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106"/>
      </w:tblGrid>
      <w:tr w14:paraId="170C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3" w:type="pct"/>
            <w:vAlign w:val="center"/>
          </w:tcPr>
          <w:p w14:paraId="450A47C8">
            <w:pPr>
              <w:keepLines/>
              <w:jc w:val="center"/>
              <w:rPr>
                <w:rFonts w:hint="eastAsia" w:ascii="宋体" w:hAnsi="宋体" w:eastAsia="宋体"/>
                <w:b/>
                <w:bCs/>
                <w:sz w:val="24"/>
              </w:rPr>
            </w:pPr>
            <w:r>
              <w:rPr>
                <w:rFonts w:hint="eastAsia" w:ascii="宋体" w:hAnsi="宋体" w:eastAsia="宋体"/>
                <w:b/>
                <w:bCs/>
                <w:sz w:val="24"/>
              </w:rPr>
              <w:t>功能</w:t>
            </w:r>
          </w:p>
        </w:tc>
        <w:tc>
          <w:tcPr>
            <w:tcW w:w="4267" w:type="pct"/>
            <w:vAlign w:val="center"/>
          </w:tcPr>
          <w:p w14:paraId="36708E36">
            <w:pPr>
              <w:keepLines/>
              <w:jc w:val="center"/>
              <w:rPr>
                <w:rFonts w:hint="eastAsia" w:ascii="宋体" w:hAnsi="宋体" w:eastAsia="宋体"/>
                <w:b/>
                <w:bCs/>
                <w:sz w:val="24"/>
              </w:rPr>
            </w:pPr>
            <w:r>
              <w:rPr>
                <w:rFonts w:hint="eastAsia" w:ascii="宋体" w:hAnsi="宋体" w:eastAsia="宋体"/>
                <w:b/>
                <w:bCs/>
                <w:sz w:val="24"/>
              </w:rPr>
              <w:t>指标要求</w:t>
            </w:r>
          </w:p>
        </w:tc>
      </w:tr>
      <w:tr w14:paraId="6F3B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pct"/>
            <w:noWrap/>
            <w:vAlign w:val="center"/>
          </w:tcPr>
          <w:p w14:paraId="552B96E4">
            <w:pPr>
              <w:keepLines/>
              <w:rPr>
                <w:rFonts w:hint="eastAsia" w:ascii="宋体" w:hAnsi="宋体" w:eastAsia="宋体"/>
                <w:sz w:val="24"/>
              </w:rPr>
            </w:pPr>
            <w:r>
              <w:rPr>
                <w:rFonts w:hint="eastAsia" w:ascii="宋体" w:hAnsi="宋体" w:eastAsia="宋体"/>
                <w:sz w:val="24"/>
              </w:rPr>
              <w:t>设备要求</w:t>
            </w:r>
          </w:p>
        </w:tc>
        <w:tc>
          <w:tcPr>
            <w:tcW w:w="4267" w:type="pct"/>
            <w:vAlign w:val="center"/>
          </w:tcPr>
          <w:p w14:paraId="04489DB8">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（1）500在线用户，2K并发请求数，硬件配置:2U，双电源，内存16G，存储SSD盘1T，接口8电、4万兆光、1扩展。</w:t>
            </w:r>
          </w:p>
          <w:p w14:paraId="70D75D1B">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（2）提供5年原厂维保和技术支持。</w:t>
            </w:r>
          </w:p>
          <w:p w14:paraId="111BB6AB">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（3）在质保时间内每年提供≥3次选课期间临时并发保障需求。</w:t>
            </w:r>
          </w:p>
        </w:tc>
      </w:tr>
      <w:tr w14:paraId="1813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733" w:type="pct"/>
            <w:noWrap/>
            <w:vAlign w:val="center"/>
          </w:tcPr>
          <w:p w14:paraId="57CF3D40">
            <w:pPr>
              <w:keepLines/>
              <w:rPr>
                <w:rFonts w:hint="eastAsia" w:ascii="宋体" w:hAnsi="宋体" w:eastAsia="宋体"/>
                <w:sz w:val="24"/>
              </w:rPr>
            </w:pPr>
            <w:r>
              <w:rPr>
                <w:rFonts w:hint="eastAsia" w:ascii="宋体" w:hAnsi="宋体" w:eastAsia="宋体"/>
                <w:sz w:val="24"/>
              </w:rPr>
              <w:t>WebVPN</w:t>
            </w:r>
          </w:p>
        </w:tc>
        <w:tc>
          <w:tcPr>
            <w:tcW w:w="4267" w:type="pct"/>
            <w:vAlign w:val="center"/>
          </w:tcPr>
          <w:p w14:paraId="446DAE78">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（1）通过系统访问内网资源，支持的协议包括但不限于HTTP、HTTPS、RDP、VNC、Telnet、SSH，无须在系统中通过域名或别名对资源进行预先定义或适配；支持用户通过IPv4或IPv6利用本系统访问IPv4、IPv6资源。</w:t>
            </w:r>
          </w:p>
          <w:p w14:paraId="3ECB12DA">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（2）具有用户访问的目的地址进行加密功能，支持多种加密方式，包括但不限于不加密、单向加密、双向加密。双向加密可以支持多种加密模式，包括但不限于固定模式、用户模式和登录模式；</w:t>
            </w:r>
          </w:p>
          <w:p w14:paraId="0F9F0632">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（3）支持用户临时会话授权功能，即A用户登录的网站的权限可以选择部分让B用户也拥有临时的相应权限。</w:t>
            </w:r>
          </w:p>
          <w:p w14:paraId="62BD6D33">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（4）支持对账号的认证行为进行安全风险检测，对不同用户行为给予高中低三种等级的风险评级，并自动封禁存在高安全风险的账号。</w:t>
            </w:r>
          </w:p>
        </w:tc>
      </w:tr>
      <w:tr w14:paraId="2EAF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33" w:type="pct"/>
            <w:noWrap/>
            <w:vAlign w:val="center"/>
          </w:tcPr>
          <w:p w14:paraId="334596DA">
            <w:pPr>
              <w:keepLines/>
              <w:rPr>
                <w:rFonts w:hint="eastAsia" w:ascii="宋体" w:hAnsi="宋体" w:eastAsia="宋体"/>
                <w:sz w:val="24"/>
              </w:rPr>
            </w:pPr>
            <w:r>
              <w:rPr>
                <w:rFonts w:hint="eastAsia" w:ascii="宋体" w:hAnsi="宋体" w:eastAsia="宋体"/>
                <w:sz w:val="24"/>
              </w:rPr>
              <w:t>客户端VPN</w:t>
            </w:r>
          </w:p>
        </w:tc>
        <w:tc>
          <w:tcPr>
            <w:tcW w:w="4267" w:type="pct"/>
            <w:vAlign w:val="center"/>
          </w:tcPr>
          <w:p w14:paraId="0FB8EE82">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（1）支持Windows、MacOS、iOS、安卓操作系统的客户端访问。</w:t>
            </w:r>
          </w:p>
          <w:p w14:paraId="44A2A560">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（2）可通过客户端下发内网DNS配置，用户使用客户端访问时可以解析内网DNS地址。</w:t>
            </w:r>
          </w:p>
        </w:tc>
      </w:tr>
      <w:tr w14:paraId="53DC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3" w:type="pct"/>
            <w:noWrap/>
            <w:vAlign w:val="center"/>
          </w:tcPr>
          <w:p w14:paraId="13E67B39">
            <w:pPr>
              <w:keepLines/>
              <w:rPr>
                <w:rFonts w:hint="eastAsia" w:ascii="宋体" w:hAnsi="宋体" w:eastAsia="宋体"/>
                <w:sz w:val="24"/>
              </w:rPr>
            </w:pPr>
            <w:r>
              <w:rPr>
                <w:rFonts w:hint="eastAsia" w:ascii="宋体" w:hAnsi="宋体" w:eastAsia="宋体"/>
                <w:sz w:val="24"/>
              </w:rPr>
              <w:t>用户及权限</w:t>
            </w:r>
          </w:p>
        </w:tc>
        <w:tc>
          <w:tcPr>
            <w:tcW w:w="4267" w:type="pct"/>
            <w:vAlign w:val="center"/>
          </w:tcPr>
          <w:p w14:paraId="0C11E4F2">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（1）具有本地用户管理功能；支持定期修改本地账号密码和账号有效期。</w:t>
            </w:r>
          </w:p>
          <w:p w14:paraId="2588C3F9">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（2）用户可自助申请延长有效期，支持用户自助申请临时账号，管理员可以使用多种消息方式接受用户的申请信息。</w:t>
            </w:r>
          </w:p>
          <w:p w14:paraId="0AD2F9CF">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（3）可对接外部统一认证系统，包括但不限于LDAP、RADIUS、CAS、OAuth、企业微信、钉钉、个人微信。</w:t>
            </w:r>
          </w:p>
          <w:p w14:paraId="5AC61F36">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4）支持增强二次认证，支持自定义增强认证策略，包括条件匹配、用户自主决定、强制开启、强制关闭，不同用户组可使用不同增强认证策略。为了保护用户隐私，支持在用户侧发送二次验证码时隐藏发送手机号信息。</w:t>
            </w:r>
          </w:p>
          <w:p w14:paraId="7DA8507A">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（5）支持终端管理，支持获取终端类型、终端名称、操作系统、MAC地址、接入IP等信息；支持封禁终端，封禁后禁止使用VPN业务。</w:t>
            </w:r>
          </w:p>
          <w:p w14:paraId="3D244DCF">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（6）支持根据用户角色、终端源地址、资源类型、待访问的资源地址四个方面对资源访问进行控制。</w:t>
            </w:r>
          </w:p>
          <w:p w14:paraId="34C9D0D9">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（7）具备暴力防破解功能，支持自动异常登陆封禁IP、账号，支持管理员手动封禁、解封禁功能；支持记录与查询恶意用户的封禁日志，包括用户名、用户IP、时间以及封禁原因。</w:t>
            </w:r>
          </w:p>
          <w:p w14:paraId="3D5DD5B8">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（8）支持弱密码强度设置，支持自定义密码强度规则。</w:t>
            </w:r>
          </w:p>
        </w:tc>
      </w:tr>
      <w:tr w14:paraId="607B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33" w:type="pct"/>
            <w:noWrap/>
            <w:vAlign w:val="center"/>
          </w:tcPr>
          <w:p w14:paraId="5A863054">
            <w:pPr>
              <w:keepLines/>
              <w:rPr>
                <w:rFonts w:hint="eastAsia" w:ascii="宋体" w:hAnsi="宋体" w:eastAsia="宋体"/>
                <w:sz w:val="24"/>
              </w:rPr>
            </w:pPr>
            <w:r>
              <w:rPr>
                <w:rFonts w:hint="eastAsia" w:ascii="宋体" w:hAnsi="宋体" w:eastAsia="宋体"/>
                <w:sz w:val="24"/>
              </w:rPr>
              <w:t>应用管理</w:t>
            </w:r>
          </w:p>
        </w:tc>
        <w:tc>
          <w:tcPr>
            <w:tcW w:w="4267" w:type="pct"/>
            <w:vAlign w:val="center"/>
          </w:tcPr>
          <w:p w14:paraId="68F8F170">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（1）支持通过树状分组对VPN上的应用进行管理，支持自定义应用名称、应用备注、应用图标、应用分组、应用排序；支持设置应用的默认地址和移动端地址。</w:t>
            </w:r>
          </w:p>
          <w:p w14:paraId="3153373F">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（2）应用支持多种类型，包括但不限于WebVPN、隧道VPN、外部链接以及反向代理。</w:t>
            </w:r>
          </w:p>
        </w:tc>
      </w:tr>
      <w:tr w14:paraId="566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733" w:type="pct"/>
            <w:noWrap/>
            <w:vAlign w:val="center"/>
          </w:tcPr>
          <w:p w14:paraId="7149239B">
            <w:pPr>
              <w:keepLines/>
              <w:rPr>
                <w:rFonts w:hint="eastAsia" w:ascii="宋体" w:hAnsi="宋体" w:eastAsia="宋体"/>
                <w:sz w:val="24"/>
              </w:rPr>
            </w:pPr>
            <w:r>
              <w:rPr>
                <w:rFonts w:hint="eastAsia" w:ascii="宋体" w:hAnsi="宋体" w:eastAsia="宋体"/>
                <w:sz w:val="24"/>
              </w:rPr>
              <w:t>界面管理</w:t>
            </w:r>
          </w:p>
        </w:tc>
        <w:tc>
          <w:tcPr>
            <w:tcW w:w="4267" w:type="pct"/>
            <w:vAlign w:val="center"/>
          </w:tcPr>
          <w:p w14:paraId="1DE7E620">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（1）支持所见即所得的门户自定义，包括门户登录页、导航页内容、导航分组及分组内资源链接，支持在管理端预览不同用户或用户组的可访问权限以及门户呈现效果。</w:t>
            </w:r>
          </w:p>
          <w:p w14:paraId="647413FE">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（2）支持认证通过后设置任意导航页，即使用其他任意网站作为访问系统的导航页面。</w:t>
            </w:r>
          </w:p>
          <w:p w14:paraId="542FE438">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（3）支持多语言管理，支持用户侧是否启用多语言功能。</w:t>
            </w:r>
          </w:p>
          <w:p w14:paraId="4C53163A">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（4）支持对登录页显示的认证顺序进行配置，支持配置密码登录的认证顺序规则。</w:t>
            </w:r>
          </w:p>
          <w:p w14:paraId="2A889FC4">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（5）支持对登录页的认证名称进行自定义，支持对密码登录/统一身份认证登录等认证方式的名称进行修改。</w:t>
            </w:r>
          </w:p>
        </w:tc>
      </w:tr>
      <w:tr w14:paraId="332B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3" w:type="pct"/>
            <w:noWrap/>
            <w:vAlign w:val="center"/>
          </w:tcPr>
          <w:p w14:paraId="1CD73978">
            <w:pPr>
              <w:keepLines/>
              <w:rPr>
                <w:rFonts w:hint="eastAsia" w:ascii="宋体" w:hAnsi="宋体" w:eastAsia="宋体"/>
                <w:sz w:val="24"/>
              </w:rPr>
            </w:pPr>
            <w:r>
              <w:rPr>
                <w:rFonts w:hint="eastAsia" w:ascii="宋体" w:hAnsi="宋体" w:eastAsia="宋体"/>
                <w:sz w:val="24"/>
              </w:rPr>
              <w:t>日志与报表</w:t>
            </w:r>
          </w:p>
        </w:tc>
        <w:tc>
          <w:tcPr>
            <w:tcW w:w="4267" w:type="pct"/>
            <w:vAlign w:val="center"/>
          </w:tcPr>
          <w:p w14:paraId="07C47E00">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（1）支持记录与查询全量登录认证日志，包括但不限于用户账号、用户IP、登录时间及登录结果 ；支持记录与查询全量访问成功以及失败日志，包括但不限于用户账号、用户IP、终端、请求时间、访问URL、请求结果。</w:t>
            </w:r>
          </w:p>
          <w:p w14:paraId="18226B78">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支持根据在线用户、访问量、登录次数、访问流量、浏览器、操作系统、设备类型、请求来源地理位置进行统计分析，可记录历史在线用户数，并可根据时间段及不同时间维度（日、周、月、年）进行统计，通过可视化图表展示变化趋势 ；支持区分用户组对访问量、浏览器、操作系统、设备类型、请求来源、地理位置、登录次数、访问流量进行分类统计。</w:t>
            </w:r>
          </w:p>
          <w:p w14:paraId="7B81872C">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（3）支持根据URL对用户的全部访问数据进行统计分析。</w:t>
            </w:r>
          </w:p>
        </w:tc>
      </w:tr>
      <w:tr w14:paraId="7892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733" w:type="pct"/>
            <w:noWrap/>
            <w:vAlign w:val="center"/>
          </w:tcPr>
          <w:p w14:paraId="2C905538">
            <w:pPr>
              <w:keepLines/>
              <w:rPr>
                <w:rFonts w:hint="eastAsia" w:ascii="宋体" w:hAnsi="宋体" w:eastAsia="宋体"/>
                <w:sz w:val="24"/>
              </w:rPr>
            </w:pPr>
            <w:r>
              <w:rPr>
                <w:rFonts w:hint="eastAsia" w:ascii="宋体" w:hAnsi="宋体" w:eastAsia="宋体"/>
                <w:sz w:val="24"/>
              </w:rPr>
              <w:t>系统管理</w:t>
            </w:r>
          </w:p>
        </w:tc>
        <w:tc>
          <w:tcPr>
            <w:tcW w:w="4267" w:type="pct"/>
            <w:vAlign w:val="center"/>
          </w:tcPr>
          <w:p w14:paraId="3821FF0A">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1）支持HA方式进行多机部署，在单台出现故障时，能在1s内切换至另一台服务器进行服务，避免出现单点故障；业务端支持双活运行，两台机器同时提供具体业务，提升业务性能；支持自动定期系统配置备份，并可通过备份进行系统恢复。</w:t>
            </w:r>
          </w:p>
          <w:p w14:paraId="0B41F73B">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（2）管理端口和用户访问端口需要进行隔离，以避免安全风险； 管理账号与用户账号在数据库中的数据表需要进行隔离，避免数据泄漏导致的安全风险。</w:t>
            </w:r>
          </w:p>
          <w:p w14:paraId="7CB648AE">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（3）支持自动定期系统配置备份，并可通过备份进行系统恢复，支持设置远端FTP进行备份。</w:t>
            </w:r>
          </w:p>
          <w:p w14:paraId="780F2887">
            <w:pPr>
              <w:pStyle w:val="554"/>
              <w:keepLines/>
              <w:adjustRightInd w:val="0"/>
              <w:snapToGrid w:val="0"/>
              <w:ind w:firstLine="0" w:firstLineChars="0"/>
              <w:rPr>
                <w:rFonts w:hint="eastAsia" w:ascii="宋体" w:hAnsi="宋体" w:eastAsia="宋体"/>
                <w:sz w:val="24"/>
                <w:szCs w:val="24"/>
              </w:rPr>
            </w:pPr>
            <w:r>
              <w:rPr>
                <w:rFonts w:hint="eastAsia" w:ascii="宋体" w:hAnsi="宋体" w:eastAsia="宋体"/>
                <w:sz w:val="24"/>
                <w:szCs w:val="24"/>
              </w:rPr>
              <w:t>（4）支持监控系统自身运行状态，包括CPU、内存、负载状态、网卡流量以及磁盘使用情况；支持自定义告警阈值，支持通过多种通知方式向管理员发送告警推送。</w:t>
            </w:r>
          </w:p>
        </w:tc>
      </w:tr>
    </w:tbl>
    <w:p w14:paraId="27003F0F">
      <w:pPr>
        <w:adjustRightInd w:val="0"/>
        <w:snapToGrid w:val="0"/>
        <w:spacing w:line="360" w:lineRule="auto"/>
        <w:rPr>
          <w:rFonts w:hint="eastAsia" w:ascii="宋体" w:hAnsi="宋体" w:eastAsia="宋体"/>
          <w:b/>
          <w:bCs/>
          <w:sz w:val="24"/>
          <w:szCs w:val="24"/>
        </w:rPr>
      </w:pPr>
    </w:p>
    <w:p w14:paraId="64908484">
      <w:pPr>
        <w:adjustRightInd w:val="0"/>
        <w:snapToGrid w:val="0"/>
        <w:spacing w:line="360" w:lineRule="auto"/>
        <w:rPr>
          <w:rFonts w:hint="eastAsia" w:ascii="宋体" w:hAnsi="宋体" w:eastAsia="宋体"/>
          <w:b/>
          <w:bCs/>
          <w:sz w:val="24"/>
          <w:szCs w:val="24"/>
        </w:rPr>
      </w:pPr>
      <w:bookmarkStart w:id="16" w:name="_Toc201826042"/>
      <w:r>
        <w:rPr>
          <w:rFonts w:hint="eastAsia" w:ascii="宋体" w:hAnsi="宋体" w:eastAsia="宋体"/>
          <w:b/>
          <w:bCs/>
          <w:sz w:val="24"/>
          <w:szCs w:val="24"/>
        </w:rPr>
        <w:t>四、其他要求</w:t>
      </w:r>
      <w:bookmarkEnd w:id="16"/>
    </w:p>
    <w:p w14:paraId="146E6D5E">
      <w:pPr>
        <w:adjustRightInd w:val="0"/>
        <w:snapToGrid w:val="0"/>
        <w:spacing w:line="360" w:lineRule="auto"/>
        <w:rPr>
          <w:rFonts w:hint="eastAsia" w:ascii="宋体" w:hAnsi="宋体" w:eastAsia="宋体"/>
          <w:b/>
          <w:bCs/>
          <w:sz w:val="24"/>
          <w:szCs w:val="24"/>
        </w:rPr>
      </w:pPr>
      <w:bookmarkStart w:id="17" w:name="_Toc525829514"/>
      <w:r>
        <w:rPr>
          <w:rFonts w:hint="eastAsia" w:ascii="宋体" w:hAnsi="宋体" w:eastAsia="宋体"/>
          <w:b/>
          <w:bCs/>
          <w:sz w:val="24"/>
          <w:szCs w:val="24"/>
        </w:rPr>
        <w:t>1.报价要求</w:t>
      </w:r>
    </w:p>
    <w:p w14:paraId="0ECBF1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人民币报价，价格为交钥匙价，包括但不限于货物成本、利润、运输费（含保险费）、装卸费、安装调试费、检测验收费、售后服务费以及与本项目有关的所有税、费；采购人无须另向中标供应商支付其他任何费用。</w:t>
      </w:r>
    </w:p>
    <w:p w14:paraId="7E554A0F">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2.</w:t>
      </w:r>
      <w:bookmarkEnd w:id="17"/>
      <w:r>
        <w:rPr>
          <w:rFonts w:hint="eastAsia" w:ascii="宋体" w:hAnsi="宋体" w:eastAsia="宋体"/>
          <w:b/>
          <w:bCs/>
          <w:sz w:val="24"/>
          <w:szCs w:val="24"/>
        </w:rPr>
        <w:t>售后服务要求</w:t>
      </w:r>
    </w:p>
    <w:p w14:paraId="3A1285E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（1）交货安装地点：南京审计大学金审学院</w:t>
      </w:r>
    </w:p>
    <w:p w14:paraId="73A6FF9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（2）在质保期内，中标供应商负责提供软件系统免费维护、升级和免费更换损坏的和有缺陷的零部件。同时供应商中标后须提供所投软件系统开发原制造商针对本项目五年售后服务承诺函；</w:t>
      </w:r>
    </w:p>
    <w:p w14:paraId="68A78763">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 xml:space="preserve">（3）设备出现问题时，中标供应商在3小时内抵达现场修复，或在30分钟内进行在线响应。 </w:t>
      </w:r>
    </w:p>
    <w:p w14:paraId="7E01CAD6">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（4）中标供应商应派技术人员到场安装、部署、调试至正常使用。</w:t>
      </w:r>
    </w:p>
    <w:p w14:paraId="34FD88BE">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（5）提供免费现场培训管理技术人员的服务。</w:t>
      </w:r>
    </w:p>
    <w:p w14:paraId="33BA239D">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3.培训要求</w:t>
      </w:r>
    </w:p>
    <w:p w14:paraId="0D16CBEC">
      <w:pPr>
        <w:adjustRightInd w:val="0"/>
        <w:snapToGrid w:val="0"/>
        <w:spacing w:line="360" w:lineRule="auto"/>
        <w:rPr>
          <w:rFonts w:hint="eastAsia" w:ascii="宋体" w:hAnsi="宋体" w:eastAsia="宋体"/>
          <w:sz w:val="24"/>
          <w:szCs w:val="24"/>
        </w:rPr>
      </w:pPr>
      <w:bookmarkStart w:id="18" w:name="_Toc201826043"/>
      <w:r>
        <w:rPr>
          <w:rFonts w:hint="eastAsia" w:ascii="宋体" w:hAnsi="宋体" w:eastAsia="宋体"/>
          <w:sz w:val="24"/>
          <w:szCs w:val="24"/>
        </w:rPr>
        <w:t>（1）安装调试合格后，由采购人与中标供应商共同商定培训时间，培训地点由采购人指定。</w:t>
      </w:r>
    </w:p>
    <w:p w14:paraId="2B02427B">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中标供应商向采购人使用人员免费提供培训，培训内容与方式如下：提供必要的培训资料，并指派专业人员就所供货物的组装、试运行、运行、使用、维护、保养等对使用人员进行现场培训，培训时间不少于1个工作日，培训人数不限，至采购人受训人员全面掌握为止。</w:t>
      </w:r>
    </w:p>
    <w:p w14:paraId="4540FC49">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4.验收要求</w:t>
      </w:r>
    </w:p>
    <w:p w14:paraId="1BF6E439">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（1）验收标准：国家标准(强制或推荐)、行业标准、企业标准及相应的技术规范要求中要求最高的标准。</w:t>
      </w:r>
    </w:p>
    <w:p w14:paraId="699E22F7">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（2）中标供应商根据招标要求进行产品安装、调试、测试、试运行后，由采购人或采购人聘请技术专家依据验收标准并组织进行使用性能方面的验收，所需检测费用包含在报价中。</w:t>
      </w:r>
    </w:p>
    <w:p w14:paraId="72B049C6">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（3）货物到货验收时中标供应商代表必须在场，并提供产品合格证、质量保证文件、技术参数和性能说明书等相关证明材料。</w:t>
      </w:r>
    </w:p>
    <w:p w14:paraId="4C60BFAD">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五、商务条款</w:t>
      </w:r>
      <w:bookmarkEnd w:id="18"/>
    </w:p>
    <w:p w14:paraId="36A6221F">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1.质保期</w:t>
      </w:r>
    </w:p>
    <w:p w14:paraId="1E77C3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质保期</w:t>
      </w:r>
      <w:r>
        <w:rPr>
          <w:rFonts w:hint="eastAsia" w:ascii="宋体" w:hAnsi="宋体" w:eastAsia="宋体"/>
          <w:sz w:val="24"/>
          <w:szCs w:val="24"/>
          <w:u w:val="single"/>
        </w:rPr>
        <w:t xml:space="preserve"> 5 </w:t>
      </w:r>
      <w:r>
        <w:rPr>
          <w:rFonts w:hint="eastAsia" w:ascii="宋体" w:hAnsi="宋体" w:eastAsia="宋体"/>
          <w:sz w:val="24"/>
          <w:szCs w:val="24"/>
        </w:rPr>
        <w:t>年（自项目验收合格之日起）。</w:t>
      </w:r>
    </w:p>
    <w:p w14:paraId="739A711A">
      <w:pPr>
        <w:adjustRightInd w:val="0"/>
        <w:snapToGrid w:val="0"/>
        <w:spacing w:line="360" w:lineRule="auto"/>
        <w:rPr>
          <w:rFonts w:hint="eastAsia"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交货期</w:t>
      </w:r>
    </w:p>
    <w:p w14:paraId="2716F07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合同签订后15天内所有设备到货并完成安装调试。</w:t>
      </w:r>
    </w:p>
    <w:p w14:paraId="094D2F32">
      <w:pPr>
        <w:adjustRightInd w:val="0"/>
        <w:snapToGrid w:val="0"/>
        <w:spacing w:line="360" w:lineRule="auto"/>
        <w:rPr>
          <w:rFonts w:hint="eastAsia"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付款方式</w:t>
      </w:r>
    </w:p>
    <w:p w14:paraId="425B74B1">
      <w:pPr>
        <w:adjustRightInd w:val="0"/>
        <w:snapToGrid w:val="0"/>
        <w:spacing w:line="360" w:lineRule="auto"/>
        <w:ind w:firstLine="480" w:firstLineChars="200"/>
        <w:rPr>
          <w:rFonts w:hint="eastAsia" w:ascii="宋体" w:hAnsi="宋体" w:eastAsia="宋体"/>
          <w:sz w:val="24"/>
          <w:szCs w:val="24"/>
        </w:rPr>
      </w:pPr>
      <w:bookmarkStart w:id="19" w:name="OLE_LINK3"/>
      <w:r>
        <w:rPr>
          <w:rFonts w:hint="eastAsia" w:ascii="宋体" w:hAnsi="宋体" w:eastAsia="宋体"/>
          <w:sz w:val="24"/>
          <w:szCs w:val="24"/>
        </w:rPr>
        <w:t>项目调试实施完成并经验收合格后采购人支付到合同金额的95%，余款5%质保期满后免息支付。</w:t>
      </w:r>
    </w:p>
    <w:bookmarkEnd w:id="19"/>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0"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20"/>
      <w:r>
        <w:rPr>
          <w:rFonts w:hint="eastAsia" w:ascii="宋体" w:hAnsi="宋体" w:eastAsia="宋体" w:cs="宋体"/>
          <w:b/>
          <w:bCs/>
          <w:kern w:val="0"/>
          <w:sz w:val="36"/>
          <w:szCs w:val="36"/>
        </w:rPr>
        <w:t>（参考格式）</w:t>
      </w:r>
    </w:p>
    <w:p w14:paraId="02BE9679">
      <w:pPr>
        <w:pStyle w:val="28"/>
        <w:spacing w:before="120" w:after="120" w:line="360" w:lineRule="auto"/>
        <w:ind w:firstLine="420"/>
        <w:rPr>
          <w:rFonts w:hint="eastAsia" w:hAnsi="宋体"/>
        </w:rPr>
      </w:pPr>
      <w:r>
        <w:rPr>
          <w:rFonts w:hint="eastAsia" w:hAnsi="宋体"/>
        </w:rPr>
        <w:t>以下为中标后签定本项目合同的通用条款，中标人不得提出实质性的修改，关于专用条款将由采购人与中标人结合本项目具体情况协商后签订。</w:t>
      </w:r>
    </w:p>
    <w:p w14:paraId="649F42DF">
      <w:pPr>
        <w:pStyle w:val="28"/>
        <w:spacing w:before="120" w:after="120" w:line="360" w:lineRule="auto"/>
        <w:ind w:firstLine="422"/>
        <w:jc w:val="center"/>
        <w:rPr>
          <w:rFonts w:hint="eastAsia" w:hAnsi="宋体" w:cs="宋体"/>
          <w:b/>
          <w:bCs/>
        </w:rPr>
      </w:pPr>
      <w:r>
        <w:rPr>
          <w:rFonts w:hint="eastAsia" w:hAnsi="宋体" w:cs="宋体"/>
          <w:b/>
          <w:bCs/>
        </w:rPr>
        <w:t>采购合同（货物)（合同编号）</w:t>
      </w:r>
    </w:p>
    <w:p w14:paraId="4CD55794">
      <w:pPr>
        <w:pStyle w:val="28"/>
        <w:spacing w:before="120" w:after="120" w:line="360" w:lineRule="auto"/>
        <w:ind w:firstLine="420"/>
        <w:rPr>
          <w:rFonts w:hint="eastAsia" w:hAnsi="宋体" w:cs="宋体"/>
        </w:rPr>
      </w:pPr>
      <w:r>
        <w:rPr>
          <w:rFonts w:hint="eastAsia" w:hAnsi="宋体" w:cs="宋体"/>
        </w:rPr>
        <w:t>项目名称：</w:t>
      </w:r>
    </w:p>
    <w:p w14:paraId="2F8DAF32">
      <w:pPr>
        <w:pStyle w:val="28"/>
        <w:spacing w:before="120" w:after="120" w:line="360" w:lineRule="auto"/>
        <w:ind w:firstLine="420"/>
        <w:rPr>
          <w:rFonts w:hint="eastAsia" w:hAnsi="宋体" w:cs="宋体"/>
        </w:rPr>
      </w:pPr>
      <w:r>
        <w:rPr>
          <w:rFonts w:hint="eastAsia" w:hAnsi="宋体" w:cs="宋体"/>
        </w:rPr>
        <w:t>项目编号：</w:t>
      </w:r>
    </w:p>
    <w:p w14:paraId="6986D040">
      <w:pPr>
        <w:pStyle w:val="28"/>
        <w:spacing w:before="120" w:after="120" w:line="360" w:lineRule="auto"/>
        <w:ind w:firstLine="420"/>
        <w:rPr>
          <w:rFonts w:hint="eastAsia" w:hAnsi="宋体" w:cs="宋体"/>
        </w:rPr>
      </w:pPr>
      <w:r>
        <w:rPr>
          <w:rFonts w:hint="eastAsia" w:hAnsi="宋体" w:cs="宋体"/>
        </w:rPr>
        <w:t>甲方：（买方）_________</w:t>
      </w:r>
    </w:p>
    <w:p w14:paraId="73F02534">
      <w:pPr>
        <w:pStyle w:val="28"/>
        <w:spacing w:before="120" w:after="120" w:line="360" w:lineRule="auto"/>
        <w:ind w:firstLine="420"/>
        <w:rPr>
          <w:rFonts w:hint="eastAsia" w:hAnsi="宋体" w:cs="宋体"/>
        </w:rPr>
      </w:pPr>
      <w:r>
        <w:rPr>
          <w:rFonts w:hint="eastAsia" w:hAnsi="宋体" w:cs="宋体"/>
        </w:rPr>
        <w:t>乙方：（卖方）_________</w:t>
      </w:r>
    </w:p>
    <w:p w14:paraId="5ED022B1">
      <w:pPr>
        <w:pStyle w:val="28"/>
        <w:spacing w:before="120" w:after="120" w:line="360" w:lineRule="auto"/>
        <w:ind w:firstLine="420"/>
        <w:rPr>
          <w:rFonts w:hint="eastAsia" w:hAnsi="宋体" w:cs="宋体"/>
        </w:rPr>
      </w:pPr>
      <w:r>
        <w:rPr>
          <w:rFonts w:hint="eastAsia" w:hAnsi="宋体" w:cs="宋体"/>
        </w:rPr>
        <w:t>甲、乙双方根据</w:t>
      </w:r>
      <w:r>
        <w:rPr>
          <w:rFonts w:hint="eastAsia" w:hAnsi="宋体" w:cs="宋体"/>
          <w:u w:val="single"/>
        </w:rPr>
        <w:t xml:space="preserve">                       </w:t>
      </w:r>
      <w:r>
        <w:rPr>
          <w:rFonts w:hint="eastAsia" w:hAnsi="宋体" w:cs="宋体"/>
        </w:rPr>
        <w:t>项目公开采购的结果，签署本合同。</w:t>
      </w:r>
    </w:p>
    <w:p w14:paraId="7DBBCCAD">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w:t>
      </w:r>
      <w:r>
        <w:rPr>
          <w:rFonts w:ascii="宋体" w:hAnsi="宋体" w:eastAsia="宋体"/>
          <w:sz w:val="24"/>
          <w:szCs w:val="24"/>
        </w:rPr>
        <w:t>中华人民共和国民法典</w:t>
      </w:r>
      <w:r>
        <w:rPr>
          <w:rFonts w:hint="eastAsia" w:ascii="宋体" w:hAnsi="宋体" w:eastAsia="宋体"/>
          <w:sz w:val="24"/>
          <w:szCs w:val="24"/>
        </w:rPr>
        <w:t>》等法律法规的规定，甲乙双方按照招标代理机构的招标结果签订本合同。</w:t>
      </w:r>
    </w:p>
    <w:p w14:paraId="28A7F3EC">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第一条 合同标的</w:t>
      </w:r>
      <w:r>
        <w:rPr>
          <w:rFonts w:hint="eastAsia" w:ascii="宋体" w:hAnsi="宋体" w:eastAsia="宋体"/>
          <w:sz w:val="24"/>
          <w:szCs w:val="24"/>
        </w:rPr>
        <w:t xml:space="preserve">  </w:t>
      </w:r>
    </w:p>
    <w:p w14:paraId="4E456DF0">
      <w:pPr>
        <w:autoSpaceDE w:val="0"/>
        <w:autoSpaceDN w:val="0"/>
        <w:adjustRightInd w:val="0"/>
        <w:spacing w:line="360" w:lineRule="auto"/>
        <w:ind w:firstLine="480" w:firstLineChars="200"/>
        <w:rPr>
          <w:rFonts w:hint="eastAsia" w:ascii="宋体" w:hAnsi="宋体" w:eastAsia="宋体"/>
          <w:sz w:val="24"/>
          <w:szCs w:val="24"/>
          <w:u w:val="single"/>
        </w:rPr>
      </w:pPr>
      <w:r>
        <w:rPr>
          <w:rFonts w:hint="eastAsia" w:ascii="宋体" w:hAnsi="宋体" w:eastAsia="宋体"/>
          <w:sz w:val="24"/>
          <w:szCs w:val="24"/>
        </w:rPr>
        <w:t>1、乙方根据甲方需求提供下列服务：</w:t>
      </w:r>
      <w:r>
        <w:rPr>
          <w:rFonts w:hint="eastAsia" w:ascii="宋体" w:hAnsi="宋体" w:eastAsia="宋体"/>
          <w:sz w:val="24"/>
          <w:szCs w:val="24"/>
          <w:u w:val="single"/>
        </w:rPr>
        <w:t xml:space="preserve">                             </w:t>
      </w:r>
      <w:r>
        <w:rPr>
          <w:rFonts w:hint="eastAsia" w:ascii="宋体" w:hAnsi="宋体" w:eastAsia="宋体"/>
          <w:sz w:val="24"/>
          <w:szCs w:val="24"/>
        </w:rPr>
        <w:t>。</w:t>
      </w:r>
    </w:p>
    <w:p w14:paraId="58977BC9">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2、具体服务执行要求详见乙方投标文件。</w:t>
      </w:r>
    </w:p>
    <w:p w14:paraId="4674A19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第二条 合同总价款</w:t>
      </w:r>
    </w:p>
    <w:p w14:paraId="0366FF76">
      <w:pPr>
        <w:autoSpaceDE w:val="0"/>
        <w:autoSpaceDN w:val="0"/>
        <w:adjustRightInd w:val="0"/>
        <w:spacing w:line="360" w:lineRule="auto"/>
        <w:ind w:firstLine="240" w:firstLineChars="100"/>
        <w:jc w:val="left"/>
        <w:rPr>
          <w:rFonts w:hint="eastAsia" w:ascii="宋体" w:hAnsi="宋体" w:eastAsia="宋体"/>
          <w:sz w:val="24"/>
          <w:szCs w:val="24"/>
        </w:rPr>
      </w:pPr>
      <w:r>
        <w:rPr>
          <w:rFonts w:hint="eastAsia" w:ascii="宋体" w:hAnsi="宋体" w:eastAsia="宋体"/>
          <w:sz w:val="24"/>
          <w:szCs w:val="24"/>
        </w:rPr>
        <w:t xml:space="preserve">  1、本合同项下服务总价款为___________（大写）人民币，分项价款在乙方“投标文件价格部分”中有明确规定。</w:t>
      </w:r>
    </w:p>
    <w:p w14:paraId="216305CB">
      <w:pPr>
        <w:spacing w:line="360" w:lineRule="auto"/>
        <w:ind w:firstLine="480" w:firstLineChars="200"/>
        <w:rPr>
          <w:rFonts w:hint="eastAsia" w:ascii="宋体" w:hAnsi="宋体" w:eastAsia="宋体"/>
          <w:b/>
          <w:sz w:val="24"/>
          <w:szCs w:val="24"/>
        </w:rPr>
      </w:pPr>
      <w:r>
        <w:rPr>
          <w:rFonts w:hint="eastAsia" w:ascii="宋体" w:hAnsi="宋体" w:eastAsia="宋体"/>
          <w:sz w:val="24"/>
          <w:szCs w:val="24"/>
        </w:rPr>
        <w:t>2、本合同总价款是完成本项目所发生的所有含税费用、支付给员工的工资和国家强制缴纳的各种社会保障资金</w:t>
      </w:r>
      <w:r>
        <w:rPr>
          <w:rFonts w:hint="eastAsia" w:ascii="宋体" w:hAnsi="宋体" w:eastAsia="宋体"/>
          <w:bCs/>
          <w:sz w:val="24"/>
          <w:szCs w:val="24"/>
        </w:rPr>
        <w:t>，以</w:t>
      </w:r>
      <w:r>
        <w:rPr>
          <w:rFonts w:hint="eastAsia" w:ascii="宋体" w:hAnsi="宋体" w:eastAsia="宋体"/>
          <w:sz w:val="24"/>
          <w:szCs w:val="24"/>
        </w:rPr>
        <w:t>及乙方认为需要的其他费用等。</w:t>
      </w:r>
    </w:p>
    <w:p w14:paraId="6EE211DD">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3、本合同执行期间合同总价款不变。</w:t>
      </w:r>
    </w:p>
    <w:p w14:paraId="71D4324F">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第三条 组成本合同的有关文件</w:t>
      </w:r>
      <w:r>
        <w:rPr>
          <w:rFonts w:hint="eastAsia" w:ascii="宋体" w:hAnsi="宋体" w:eastAsia="宋体"/>
          <w:sz w:val="24"/>
          <w:szCs w:val="24"/>
        </w:rPr>
        <w:t xml:space="preserve">  </w:t>
      </w:r>
    </w:p>
    <w:p w14:paraId="749AF79C">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下列关于</w:t>
      </w:r>
      <w:r>
        <w:rPr>
          <w:rFonts w:hint="eastAsia" w:ascii="宋体" w:hAnsi="宋体" w:eastAsia="宋体"/>
          <w:sz w:val="24"/>
          <w:szCs w:val="24"/>
          <w:u w:val="single"/>
        </w:rPr>
        <w:t xml:space="preserve">    </w:t>
      </w:r>
      <w:r>
        <w:rPr>
          <w:rFonts w:hint="eastAsia" w:ascii="宋体" w:hAnsi="宋体" w:eastAsia="宋体"/>
          <w:sz w:val="24"/>
          <w:szCs w:val="24"/>
        </w:rPr>
        <w:t>标的招投标文件或与本次采购活动方式相适应的文件及有关附件是本合同不可分割的组成部分，与本合同具有同等法律效力，这些文件包括但不限于：</w:t>
      </w:r>
    </w:p>
    <w:p w14:paraId="7819FFB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1、乙方提供的投标文件和投标文件价格部分；</w:t>
      </w:r>
    </w:p>
    <w:p w14:paraId="187362C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2、技术条款偏离表；</w:t>
      </w:r>
    </w:p>
    <w:p w14:paraId="1DA028CF">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3、投标承诺/服务承诺；</w:t>
      </w:r>
    </w:p>
    <w:p w14:paraId="244A448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4、中标通知书；</w:t>
      </w:r>
    </w:p>
    <w:p w14:paraId="503297EC">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5、甲乙双方商定的其他文件等。</w:t>
      </w:r>
    </w:p>
    <w:p w14:paraId="3FFB262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第四条 权利保证</w:t>
      </w:r>
    </w:p>
    <w:p w14:paraId="20F2A15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乙方应保证甲方在使用该服务或其任何一部分时不受第三方提出侵犯其专利权、版权、商标权或其他权利的起诉。一旦出现侵权，乙方应承担全部责任。</w:t>
      </w:r>
    </w:p>
    <w:p w14:paraId="17239EC2">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第五条 质量保证</w:t>
      </w:r>
    </w:p>
    <w:p w14:paraId="4C8E3565">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乙方所提供的服务的技术规格应与招标文件规定的技术规格及投标文件所附的“技术条款偏离表”相一致；若技术性能无特殊说明，则按国家有关部门最新颁布的标准及规范为准。</w:t>
      </w:r>
    </w:p>
    <w:p w14:paraId="06A33105">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第六条 交付和验收</w:t>
      </w:r>
    </w:p>
    <w:p w14:paraId="3D9C51AD">
      <w:pPr>
        <w:autoSpaceDE w:val="0"/>
        <w:autoSpaceDN w:val="0"/>
        <w:adjustRightInd w:val="0"/>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1、乙方应当在</w:t>
      </w:r>
      <w:r>
        <w:rPr>
          <w:rFonts w:hint="eastAsia" w:ascii="宋体" w:hAnsi="宋体" w:eastAsia="宋体"/>
          <w:bCs/>
          <w:sz w:val="24"/>
          <w:szCs w:val="24"/>
        </w:rPr>
        <w:t>合同签订后</w:t>
      </w:r>
      <w:r>
        <w:rPr>
          <w:rFonts w:hint="eastAsia" w:ascii="宋体" w:hAnsi="宋体" w:eastAsia="宋体"/>
          <w:bCs/>
          <w:sz w:val="24"/>
          <w:szCs w:val="24"/>
          <w:u w:val="single"/>
        </w:rPr>
        <w:t xml:space="preserve">    </w:t>
      </w:r>
      <w:r>
        <w:rPr>
          <w:rFonts w:hint="eastAsia" w:ascii="宋体" w:hAnsi="宋体" w:eastAsia="宋体"/>
          <w:bCs/>
          <w:sz w:val="24"/>
          <w:szCs w:val="24"/>
        </w:rPr>
        <w:t>天内</w:t>
      </w:r>
      <w:r>
        <w:rPr>
          <w:rFonts w:hint="eastAsia" w:ascii="宋体" w:hAnsi="宋体" w:eastAsia="宋体"/>
          <w:sz w:val="24"/>
          <w:szCs w:val="24"/>
        </w:rPr>
        <w:t>完成服务事项。</w:t>
      </w:r>
    </w:p>
    <w:p w14:paraId="30F630EA">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2、验收标准：按行业通行标准和乙方投标文件的承诺（不低于国家相关标准）。</w:t>
      </w:r>
    </w:p>
    <w:p w14:paraId="6FBF5D64">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第七条 履约保证金</w:t>
      </w:r>
    </w:p>
    <w:p w14:paraId="1B6EC41C">
      <w:pPr>
        <w:autoSpaceDE w:val="0"/>
        <w:autoSpaceDN w:val="0"/>
        <w:adjustRightInd w:val="0"/>
        <w:spacing w:line="360" w:lineRule="auto"/>
        <w:ind w:firstLine="480" w:firstLineChars="200"/>
        <w:jc w:val="left"/>
        <w:rPr>
          <w:rFonts w:hint="eastAsia" w:ascii="宋体" w:hAnsi="宋体" w:eastAsia="宋体"/>
          <w:i/>
          <w:iCs/>
          <w:sz w:val="24"/>
          <w:szCs w:val="24"/>
        </w:rPr>
      </w:pPr>
      <w:r>
        <w:rPr>
          <w:rFonts w:hint="eastAsia" w:ascii="宋体" w:hAnsi="宋体" w:eastAsia="宋体"/>
          <w:sz w:val="24"/>
          <w:szCs w:val="24"/>
        </w:rPr>
        <w:t>1、无。</w:t>
      </w:r>
    </w:p>
    <w:p w14:paraId="0366268A">
      <w:pPr>
        <w:autoSpaceDE w:val="0"/>
        <w:autoSpaceDN w:val="0"/>
        <w:adjustRightInd w:val="0"/>
        <w:spacing w:line="360" w:lineRule="auto"/>
        <w:ind w:firstLine="482" w:firstLineChars="200"/>
        <w:jc w:val="left"/>
        <w:rPr>
          <w:rFonts w:hint="eastAsia" w:ascii="宋体" w:hAnsi="宋体" w:eastAsia="宋体"/>
          <w:b/>
          <w:bCs/>
          <w:i/>
          <w:iCs/>
          <w:sz w:val="24"/>
          <w:szCs w:val="24"/>
        </w:rPr>
      </w:pPr>
      <w:r>
        <w:rPr>
          <w:rFonts w:hint="eastAsia" w:ascii="宋体" w:hAnsi="宋体" w:eastAsia="宋体"/>
          <w:b/>
          <w:bCs/>
          <w:sz w:val="24"/>
          <w:szCs w:val="24"/>
        </w:rPr>
        <w:t>第八条 合同款支付</w:t>
      </w:r>
    </w:p>
    <w:p w14:paraId="00E130BD">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、本合同项下所有款项均以人民币支付。</w:t>
      </w:r>
    </w:p>
    <w:p w14:paraId="5A176367">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、本合同项下的采购资金由甲方自行支付，乙方向甲方开具发票。</w:t>
      </w:r>
    </w:p>
    <w:p w14:paraId="4E4D4EB8">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、付款条件：项目调试实施完成并经验收合格后采购人支付到合同金额的95%，余款5%质保期满后免息支付。</w:t>
      </w:r>
    </w:p>
    <w:p w14:paraId="06D1C828">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第九条 违约责任</w:t>
      </w:r>
    </w:p>
    <w:p w14:paraId="38F85B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1、甲方无正当理由拒收服务、拒付服务款的，由甲方向乙方偿付合同总价的5%违约金。</w:t>
      </w:r>
    </w:p>
    <w:p w14:paraId="2AE6CD4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2、甲方未按合同规定的期限向乙方支付服务款的，每逾期1天甲方向乙方偿付欠款总额的5‰滞纳金，但累计滞纳金总额不超过欠款总额的5% 。</w:t>
      </w:r>
    </w:p>
    <w:p w14:paraId="735E9FD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3、如乙方不能交付服务、完成安装调试的，乙方应向甲方支付合同总价5%的违约金。</w:t>
      </w:r>
    </w:p>
    <w:p w14:paraId="1026128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4、乙方逾期交付的，每逾期1天，乙方向甲方偿付合同总额的5‰的滞纳金。如乙方逾期交付达10天，甲方有权解除合同，解除合同的通知自到达乙方时生效。</w:t>
      </w:r>
    </w:p>
    <w:p w14:paraId="1FA0C93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5、乙方所交付的服务不符合合同规定的，甲方有权拒收。甲方拒收的，乙方应向甲方支付合同总款5%的违约金。甲方未拒收的，招标代理机构发现后将向有关部门反映，并责成乙方按照采购结果提供服务。</w:t>
      </w:r>
    </w:p>
    <w:p w14:paraId="7653069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6A317625">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7、乙方未按本合同的规定和“服务承诺”提供伴随服务/售后服务的，应按合同总价款的5%向甲方承担违约责任。</w:t>
      </w:r>
    </w:p>
    <w:p w14:paraId="068E63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14:paraId="1F977AB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9、乙方投标属虚假承诺，或经权威部门监测提供的服务不能满足招标文件要求，或是由于乙方的过错造成合同无法继续履行的，乙方应向甲方支付不少于合同总价30%赔偿金。</w:t>
      </w:r>
    </w:p>
    <w:p w14:paraId="114B0CF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第十条 项目履约验收</w:t>
      </w:r>
    </w:p>
    <w:p w14:paraId="073CC40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1、甲方有权对乙方项目实施执行过程及完成结果进行履约验收；</w:t>
      </w:r>
    </w:p>
    <w:p w14:paraId="413852A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2、甲方可以邀请参加本项目的其他供应商或者第三方机构参与验收，乙方应积极配合并响应；</w:t>
      </w:r>
    </w:p>
    <w:p w14:paraId="28C68C0F">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3、参与验收的供应商或者第三方机构的意见作为验收书的参考资料一并存档。</w:t>
      </w:r>
    </w:p>
    <w:p w14:paraId="63F7DD4F">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第十一条 合同的变更和终止</w:t>
      </w:r>
    </w:p>
    <w:p w14:paraId="36F212F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1、本合同一经签订，甲乙双方不得擅自变更、中止或终止合同。</w:t>
      </w:r>
    </w:p>
    <w:p w14:paraId="7FCD68F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2、除发生法律规定的不能预见、不能避免并不能克服的客观情况外，甲乙双方不得放弃或拒绝履行合同。</w:t>
      </w:r>
    </w:p>
    <w:p w14:paraId="0640952A">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第十二条 合同的转让</w:t>
      </w:r>
    </w:p>
    <w:p w14:paraId="76A72008">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乙方不得擅自部分或全部转让其应履行的合同义务。</w:t>
      </w:r>
    </w:p>
    <w:p w14:paraId="0484C07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第十三条 争议的解决</w:t>
      </w:r>
    </w:p>
    <w:p w14:paraId="73D7EB3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1、因服务的质量问题发生争议的，应当邀请国家认可的质量检测机构对服务质量进行鉴定。符合标准的，鉴定费由甲方承担；不符合质量标准的，鉴定费由乙方承担。</w:t>
      </w:r>
    </w:p>
    <w:p w14:paraId="3D66BAD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2、因履行本合同引起的或与本合同有关的争议，甲、乙双方应首先通过友好协商解决，如果协商不能解决争议，则采取以下第（ ）种方式解决争议：</w:t>
      </w:r>
    </w:p>
    <w:p w14:paraId="291A0C97">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（1）向甲方所在地有管辖权的人民法院提起诉讼；</w:t>
      </w:r>
    </w:p>
    <w:p w14:paraId="6761D1D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（2）向南京仲裁委员会按其仲裁规则申请仲裁。</w:t>
      </w:r>
    </w:p>
    <w:p w14:paraId="2EBB64B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如没有约定，默认采取第2种方式解决争议。</w:t>
      </w:r>
    </w:p>
    <w:p w14:paraId="6614A5BD">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3、在仲裁期间，本合同应继续履行。</w:t>
      </w:r>
    </w:p>
    <w:p w14:paraId="41271FE6">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 xml:space="preserve">第十四条 诚实信用 </w:t>
      </w:r>
    </w:p>
    <w:p w14:paraId="14FF8509">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乙方应诚实信用，严格按照招标文件要求和投标承诺履行合同，不向甲方进行商业贿赂或者提供不正当利益。</w:t>
      </w:r>
    </w:p>
    <w:p w14:paraId="299F72E0">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第十五条 合同生效及其他</w:t>
      </w:r>
    </w:p>
    <w:p w14:paraId="6506D59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1、本合同自签订之日起生效。</w:t>
      </w:r>
    </w:p>
    <w:p w14:paraId="523CD00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2、本合同一式肆份，甲乙双方各执贰份。</w:t>
      </w:r>
    </w:p>
    <w:p w14:paraId="0204A18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3、本合同应按照中华人民共和国的现行法律进行解释。</w:t>
      </w:r>
    </w:p>
    <w:p w14:paraId="605857C4">
      <w:pPr>
        <w:pStyle w:val="28"/>
        <w:spacing w:before="120" w:after="120" w:line="360" w:lineRule="auto"/>
        <w:ind w:firstLine="420"/>
        <w:rPr>
          <w:rFonts w:hint="eastAsia" w:hAnsi="宋体" w:cs="宋体"/>
        </w:rPr>
      </w:pPr>
      <w:r>
        <w:rPr>
          <w:rFonts w:hint="eastAsia" w:hAnsi="宋体" w:cs="宋体"/>
        </w:rPr>
        <w:t>。</w:t>
      </w:r>
    </w:p>
    <w:tbl>
      <w:tblPr>
        <w:tblStyle w:val="58"/>
        <w:tblW w:w="8522" w:type="dxa"/>
        <w:tblInd w:w="135" w:type="dxa"/>
        <w:tblLayout w:type="fixed"/>
        <w:tblCellMar>
          <w:top w:w="0" w:type="dxa"/>
          <w:left w:w="108" w:type="dxa"/>
          <w:bottom w:w="0" w:type="dxa"/>
          <w:right w:w="108" w:type="dxa"/>
        </w:tblCellMar>
      </w:tblPr>
      <w:tblGrid>
        <w:gridCol w:w="4284"/>
        <w:gridCol w:w="4238"/>
      </w:tblGrid>
      <w:tr w14:paraId="2A9CE746">
        <w:tblPrEx>
          <w:tblCellMar>
            <w:top w:w="0" w:type="dxa"/>
            <w:left w:w="108" w:type="dxa"/>
            <w:bottom w:w="0" w:type="dxa"/>
            <w:right w:w="108" w:type="dxa"/>
          </w:tblCellMar>
        </w:tblPrEx>
        <w:tc>
          <w:tcPr>
            <w:tcW w:w="4284" w:type="dxa"/>
          </w:tcPr>
          <w:p w14:paraId="382BEAD2">
            <w:pPr>
              <w:pStyle w:val="28"/>
              <w:spacing w:before="120" w:after="120" w:line="360" w:lineRule="auto"/>
              <w:rPr>
                <w:rFonts w:hint="eastAsia" w:hAnsi="宋体" w:cstheme="minorBidi"/>
                <w:sz w:val="22"/>
                <w:szCs w:val="22"/>
              </w:rPr>
            </w:pPr>
            <w:r>
              <w:rPr>
                <w:rFonts w:hint="eastAsia" w:hAnsi="宋体" w:cstheme="minorBidi"/>
                <w:sz w:val="22"/>
                <w:szCs w:val="22"/>
              </w:rPr>
              <w:t>甲方：</w:t>
            </w:r>
          </w:p>
        </w:tc>
        <w:tc>
          <w:tcPr>
            <w:tcW w:w="4238" w:type="dxa"/>
          </w:tcPr>
          <w:p w14:paraId="07DC545B">
            <w:pPr>
              <w:pStyle w:val="28"/>
              <w:spacing w:before="120" w:after="120" w:line="360" w:lineRule="auto"/>
              <w:rPr>
                <w:rFonts w:hint="eastAsia" w:hAnsi="宋体" w:cstheme="minorBidi"/>
                <w:sz w:val="22"/>
                <w:szCs w:val="22"/>
              </w:rPr>
            </w:pPr>
            <w:r>
              <w:rPr>
                <w:rFonts w:hint="eastAsia" w:hAnsi="宋体" w:cstheme="minorBidi"/>
                <w:sz w:val="22"/>
                <w:szCs w:val="22"/>
              </w:rPr>
              <w:t>乙方：</w:t>
            </w:r>
          </w:p>
        </w:tc>
      </w:tr>
      <w:tr w14:paraId="7190CABE">
        <w:tblPrEx>
          <w:tblCellMar>
            <w:top w:w="0" w:type="dxa"/>
            <w:left w:w="108" w:type="dxa"/>
            <w:bottom w:w="0" w:type="dxa"/>
            <w:right w:w="108" w:type="dxa"/>
          </w:tblCellMar>
        </w:tblPrEx>
        <w:tc>
          <w:tcPr>
            <w:tcW w:w="4284" w:type="dxa"/>
          </w:tcPr>
          <w:p w14:paraId="60613574">
            <w:pPr>
              <w:pStyle w:val="28"/>
              <w:spacing w:before="120" w:after="120" w:line="360" w:lineRule="auto"/>
              <w:rPr>
                <w:rFonts w:hint="eastAsia" w:hAnsi="宋体" w:cstheme="minorBidi"/>
                <w:sz w:val="22"/>
                <w:szCs w:val="22"/>
              </w:rPr>
            </w:pPr>
            <w:r>
              <w:rPr>
                <w:rFonts w:hint="eastAsia" w:hAnsi="宋体" w:cstheme="minorBidi"/>
                <w:sz w:val="22"/>
                <w:szCs w:val="22"/>
              </w:rPr>
              <w:t>地址：</w:t>
            </w:r>
          </w:p>
        </w:tc>
        <w:tc>
          <w:tcPr>
            <w:tcW w:w="4238" w:type="dxa"/>
          </w:tcPr>
          <w:p w14:paraId="0C4C98DB">
            <w:pPr>
              <w:pStyle w:val="28"/>
              <w:spacing w:before="120" w:after="120" w:line="360" w:lineRule="auto"/>
              <w:rPr>
                <w:rFonts w:hint="eastAsia" w:hAnsi="宋体" w:cstheme="minorBidi"/>
                <w:sz w:val="22"/>
                <w:szCs w:val="22"/>
              </w:rPr>
            </w:pPr>
            <w:r>
              <w:rPr>
                <w:rFonts w:hint="eastAsia" w:hAnsi="宋体" w:cstheme="minorBidi"/>
                <w:sz w:val="22"/>
                <w:szCs w:val="22"/>
              </w:rPr>
              <w:t>地址：</w:t>
            </w:r>
          </w:p>
        </w:tc>
      </w:tr>
      <w:tr w14:paraId="37AB29C1">
        <w:tblPrEx>
          <w:tblCellMar>
            <w:top w:w="0" w:type="dxa"/>
            <w:left w:w="108" w:type="dxa"/>
            <w:bottom w:w="0" w:type="dxa"/>
            <w:right w:w="108" w:type="dxa"/>
          </w:tblCellMar>
        </w:tblPrEx>
        <w:tc>
          <w:tcPr>
            <w:tcW w:w="4284" w:type="dxa"/>
          </w:tcPr>
          <w:p w14:paraId="5ABEDC46">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c>
          <w:tcPr>
            <w:tcW w:w="4238" w:type="dxa"/>
          </w:tcPr>
          <w:p w14:paraId="67155001">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r>
      <w:tr w14:paraId="40B001C2">
        <w:tblPrEx>
          <w:tblCellMar>
            <w:top w:w="0" w:type="dxa"/>
            <w:left w:w="108" w:type="dxa"/>
            <w:bottom w:w="0" w:type="dxa"/>
            <w:right w:w="108" w:type="dxa"/>
          </w:tblCellMar>
        </w:tblPrEx>
        <w:tc>
          <w:tcPr>
            <w:tcW w:w="4284" w:type="dxa"/>
          </w:tcPr>
          <w:p w14:paraId="3C6DA076">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c>
          <w:tcPr>
            <w:tcW w:w="4238" w:type="dxa"/>
          </w:tcPr>
          <w:p w14:paraId="54B1B66B">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r>
      <w:tr w14:paraId="6659D1FE">
        <w:tblPrEx>
          <w:tblCellMar>
            <w:top w:w="0" w:type="dxa"/>
            <w:left w:w="108" w:type="dxa"/>
            <w:bottom w:w="0" w:type="dxa"/>
            <w:right w:w="108" w:type="dxa"/>
          </w:tblCellMar>
        </w:tblPrEx>
        <w:tc>
          <w:tcPr>
            <w:tcW w:w="4284" w:type="dxa"/>
          </w:tcPr>
          <w:p w14:paraId="3B4055FB">
            <w:pPr>
              <w:pStyle w:val="28"/>
              <w:spacing w:before="120" w:after="120" w:line="360" w:lineRule="auto"/>
              <w:rPr>
                <w:rFonts w:hint="eastAsia" w:hAnsi="宋体" w:cstheme="minorBidi"/>
                <w:sz w:val="22"/>
                <w:szCs w:val="22"/>
              </w:rPr>
            </w:pPr>
            <w:r>
              <w:rPr>
                <w:rFonts w:hint="eastAsia" w:hAnsi="宋体" w:cstheme="minorBidi"/>
                <w:sz w:val="22"/>
                <w:szCs w:val="22"/>
              </w:rPr>
              <w:t>日期：2025年  月  日</w:t>
            </w:r>
          </w:p>
        </w:tc>
        <w:tc>
          <w:tcPr>
            <w:tcW w:w="4238" w:type="dxa"/>
          </w:tcPr>
          <w:p w14:paraId="2E2F443E">
            <w:pPr>
              <w:pStyle w:val="28"/>
              <w:spacing w:before="120" w:after="120" w:line="360" w:lineRule="auto"/>
              <w:rPr>
                <w:rFonts w:hint="eastAsia" w:hAnsi="宋体" w:cstheme="minorBidi"/>
                <w:sz w:val="22"/>
                <w:szCs w:val="22"/>
              </w:rPr>
            </w:pPr>
            <w:r>
              <w:rPr>
                <w:rFonts w:hint="eastAsia" w:hAnsi="宋体" w:cstheme="minorBidi"/>
                <w:sz w:val="22"/>
                <w:szCs w:val="22"/>
              </w:rPr>
              <w:t>日期：   年  月  日</w:t>
            </w:r>
          </w:p>
        </w:tc>
      </w:tr>
    </w:tbl>
    <w:p w14:paraId="1ED9E474">
      <w:pPr>
        <w:rPr>
          <w:rFonts w:hint="eastAsia" w:ascii="宋体" w:hAnsi="宋体" w:eastAsia="宋体" w:cs="宋体"/>
          <w:b/>
          <w:bCs/>
          <w:kern w:val="0"/>
          <w:sz w:val="24"/>
          <w:szCs w:val="24"/>
        </w:rPr>
      </w:pP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1" w:name="_Toc179553572"/>
      <w:r>
        <w:rPr>
          <w:rFonts w:hint="eastAsia" w:ascii="宋体" w:hAnsi="宋体" w:eastAsia="宋体" w:cs="宋体"/>
          <w:b/>
          <w:bCs/>
          <w:kern w:val="0"/>
          <w:sz w:val="36"/>
          <w:szCs w:val="36"/>
        </w:rPr>
        <w:t>第六章  投标文件格式</w:t>
      </w:r>
      <w:bookmarkEnd w:id="21"/>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0E08C28A">
      <w:pPr>
        <w:spacing w:line="264" w:lineRule="auto"/>
        <w:jc w:val="center"/>
        <w:rPr>
          <w:rFonts w:hint="eastAsia" w:ascii="宋体" w:hAnsi="宋体" w:eastAsia="宋体" w:cs="金山简魏碑"/>
          <w:sz w:val="36"/>
          <w:szCs w:val="21"/>
          <w:u w:val="single"/>
        </w:rPr>
      </w:pPr>
    </w:p>
    <w:p w14:paraId="0FFEB0AD">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一、磋商申请及声明格式</w:t>
      </w:r>
    </w:p>
    <w:p w14:paraId="0E2C06FF">
      <w:pPr>
        <w:jc w:val="center"/>
        <w:rPr>
          <w:rFonts w:hint="eastAsia" w:ascii="宋体" w:hAnsi="宋体" w:eastAsia="宋体" w:cs="Times New Roman"/>
          <w:b/>
          <w:color w:val="000000"/>
          <w:sz w:val="24"/>
          <w:szCs w:val="24"/>
        </w:rPr>
      </w:pP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磋商申请及声明</w:t>
      </w:r>
    </w:p>
    <w:p w14:paraId="7D06521F">
      <w:pPr>
        <w:spacing w:line="360" w:lineRule="auto"/>
        <w:rPr>
          <w:rFonts w:hint="eastAsia" w:ascii="宋体" w:hAnsi="宋体" w:eastAsia="宋体" w:cs="Times New Roman"/>
          <w:sz w:val="24"/>
          <w:szCs w:val="24"/>
        </w:rPr>
      </w:pPr>
      <w:bookmarkStart w:id="22"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1、所附投标报价表中规定的应提交首次投标总价（大写）：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bookmarkEnd w:id="22"/>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二、法定代表人授权委托书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23" w:name="_Toc25030888"/>
      <w:r>
        <w:rPr>
          <w:rFonts w:hint="eastAsia" w:ascii="宋体" w:hAnsi="宋体" w:eastAsia="宋体" w:cs="Times New Roman"/>
          <w:color w:val="000000"/>
          <w:sz w:val="24"/>
          <w:szCs w:val="24"/>
        </w:rPr>
        <w:t>附委托代理人的身份证明文件的复印件：</w:t>
      </w:r>
    </w:p>
    <w:p w14:paraId="7E98DD1F">
      <w:pPr>
        <w:spacing w:line="360" w:lineRule="auto"/>
        <w:rPr>
          <w:rFonts w:hint="eastAsia" w:ascii="宋体" w:hAnsi="宋体" w:eastAsia="宋体" w:cs="Times New Roman"/>
          <w:szCs w:val="24"/>
        </w:rPr>
        <w:sectPr>
          <w:footerReference r:id="rId8" w:type="default"/>
          <w:pgSz w:w="11906" w:h="16838"/>
          <w:pgMar w:top="1440" w:right="1800" w:bottom="1440" w:left="1800" w:header="851" w:footer="851" w:gutter="0"/>
          <w:cols w:space="720" w:num="1"/>
          <w:docGrid w:linePitch="312" w:charSpace="0"/>
        </w:sectPr>
      </w:pPr>
      <w:bookmarkStart w:id="24" w:name="_Toc434218974"/>
    </w:p>
    <w:bookmarkEnd w:id="24"/>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三、拟投入项目人员汇总表</w:t>
      </w:r>
    </w:p>
    <w:p w14:paraId="18C8139F">
      <w:pPr>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项目名称：</w:t>
      </w: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FEAD2DE">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4DA8D932">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四、分项报价表（格式自拟）</w:t>
      </w:r>
    </w:p>
    <w:p w14:paraId="48E3B05D">
      <w:pPr>
        <w:autoSpaceDE w:val="0"/>
        <w:autoSpaceDN w:val="0"/>
        <w:adjustRightInd w:val="0"/>
        <w:snapToGrid w:val="0"/>
        <w:rPr>
          <w:rFonts w:ascii="Times New Roman" w:hAnsi="Times New Roman" w:eastAsia="宋体" w:cs="Times New Roman"/>
          <w:b/>
          <w:sz w:val="22"/>
        </w:rPr>
      </w:pPr>
    </w:p>
    <w:p w14:paraId="70108654">
      <w:pPr>
        <w:autoSpaceDE w:val="0"/>
        <w:autoSpaceDN w:val="0"/>
        <w:adjustRightInd w:val="0"/>
        <w:snapToGrid w:val="0"/>
        <w:spacing w:after="100" w:afterAutospacing="1" w:line="360" w:lineRule="auto"/>
        <w:rPr>
          <w:rFonts w:hint="eastAsia" w:ascii="宋体" w:hAnsi="宋体" w:eastAsia="宋体" w:cs="宋体"/>
          <w:b/>
          <w:bCs/>
          <w:sz w:val="28"/>
          <w:szCs w:val="28"/>
        </w:rPr>
      </w:pPr>
    </w:p>
    <w:p w14:paraId="590F606B">
      <w:pPr>
        <w:autoSpaceDE w:val="0"/>
        <w:autoSpaceDN w:val="0"/>
        <w:adjustRightInd w:val="0"/>
        <w:snapToGrid w:val="0"/>
        <w:spacing w:after="100" w:afterAutospacing="1" w:line="360" w:lineRule="auto"/>
        <w:rPr>
          <w:rFonts w:hint="eastAsia" w:ascii="宋体" w:hAnsi="宋体" w:eastAsia="宋体" w:cs="宋体"/>
          <w:sz w:val="24"/>
          <w:szCs w:val="24"/>
        </w:rPr>
      </w:pPr>
    </w:p>
    <w:p w14:paraId="20D8374C">
      <w:pPr>
        <w:autoSpaceDE w:val="0"/>
        <w:autoSpaceDN w:val="0"/>
        <w:adjustRightInd w:val="0"/>
        <w:snapToGrid w:val="0"/>
        <w:spacing w:after="100" w:afterAutospacing="1" w:line="360" w:lineRule="auto"/>
        <w:rPr>
          <w:rFonts w:hint="eastAsia" w:ascii="宋体" w:hAnsi="宋体" w:eastAsia="宋体" w:cs="宋体"/>
          <w:sz w:val="24"/>
          <w:szCs w:val="24"/>
        </w:rPr>
      </w:pPr>
    </w:p>
    <w:p w14:paraId="7B1136B8">
      <w:pPr>
        <w:autoSpaceDE w:val="0"/>
        <w:autoSpaceDN w:val="0"/>
        <w:adjustRightInd w:val="0"/>
        <w:snapToGrid w:val="0"/>
        <w:spacing w:after="100" w:afterAutospacing="1" w:line="360" w:lineRule="auto"/>
        <w:rPr>
          <w:rFonts w:hint="eastAsia" w:ascii="宋体" w:hAnsi="宋体" w:eastAsia="宋体" w:cs="宋体"/>
          <w:sz w:val="24"/>
          <w:szCs w:val="24"/>
        </w:r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五</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p w14:paraId="3BB41857">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项目名称：</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六</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七、《技术条款偏离表》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4159DDEF">
      <w:pPr>
        <w:spacing w:line="360" w:lineRule="auto"/>
        <w:jc w:val="center"/>
        <w:rPr>
          <w:rFonts w:hint="eastAsia" w:ascii="Times New Roman" w:hAnsi="宋体" w:eastAsia="宋体" w:cs="Times New Roman"/>
          <w:b/>
          <w:bCs/>
          <w:kern w:val="0"/>
          <w:sz w:val="24"/>
          <w:szCs w:val="24"/>
        </w:rPr>
      </w:pPr>
      <w:r>
        <w:rPr>
          <w:rFonts w:hint="eastAsia" w:ascii="Times New Roman" w:hAnsi="Times New Roman" w:eastAsia="宋体" w:cs="Times New Roman"/>
          <w:b/>
          <w:sz w:val="28"/>
          <w:szCs w:val="28"/>
        </w:rPr>
        <w:t>八、 服务</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2FA3E4F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3D942BC7">
      <w:pPr>
        <w:spacing w:line="360" w:lineRule="auto"/>
        <w:jc w:val="left"/>
        <w:rPr>
          <w:rFonts w:hint="eastAsia" w:ascii="Times New Roman" w:hAnsi="宋体" w:eastAsia="宋体" w:cs="Times New Roman"/>
          <w:kern w:val="0"/>
          <w:sz w:val="24"/>
          <w:szCs w:val="24"/>
        </w:rPr>
      </w:pPr>
    </w:p>
    <w:p w14:paraId="78604CC7">
      <w:pPr>
        <w:spacing w:line="360" w:lineRule="auto"/>
        <w:rPr>
          <w:rFonts w:hint="eastAsia" w:ascii="Times New Roman" w:hAnsi="宋体" w:eastAsia="宋体" w:cs="Times New Roman"/>
          <w:b/>
          <w:bCs/>
          <w:kern w:val="0"/>
          <w:sz w:val="24"/>
          <w:szCs w:val="24"/>
        </w:rPr>
      </w:pPr>
      <w:bookmarkStart w:id="25" w:name="_Toc434218975"/>
    </w:p>
    <w:p w14:paraId="216E662E">
      <w:pPr>
        <w:adjustRightInd w:val="0"/>
        <w:snapToGrid w:val="0"/>
        <w:spacing w:line="300" w:lineRule="auto"/>
        <w:rPr>
          <w:rFonts w:hint="eastAsia" w:ascii="宋体" w:hAnsi="宋体" w:eastAsia="宋体" w:cs="Times New Roman"/>
          <w:color w:val="000000"/>
          <w:szCs w:val="24"/>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九、无重大违法记录声明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437A07F7">
      <w:pPr>
        <w:adjustRightInd w:val="0"/>
        <w:snapToGrid w:val="0"/>
        <w:spacing w:line="300" w:lineRule="auto"/>
        <w:rPr>
          <w:rFonts w:hint="eastAsia" w:ascii="宋体" w:hAnsi="宋体" w:eastAsia="宋体" w:cs="宋体"/>
          <w:kern w:val="0"/>
          <w:sz w:val="24"/>
          <w:szCs w:val="24"/>
          <w:lang w:val="zh-CN" w:bidi="zh-CN"/>
        </w:rPr>
      </w:pPr>
    </w:p>
    <w:p w14:paraId="3B9074B5">
      <w:pPr>
        <w:adjustRightInd w:val="0"/>
        <w:snapToGrid w:val="0"/>
        <w:spacing w:line="300" w:lineRule="auto"/>
        <w:rPr>
          <w:rFonts w:hint="eastAsia" w:ascii="宋体" w:hAnsi="宋体" w:eastAsia="宋体" w:cs="宋体"/>
          <w:kern w:val="0"/>
          <w:sz w:val="24"/>
          <w:szCs w:val="24"/>
          <w:lang w:val="zh-CN" w:bidi="zh-CN"/>
        </w:rPr>
      </w:pPr>
    </w:p>
    <w:p w14:paraId="2FDA25C3">
      <w:pPr>
        <w:adjustRightInd w:val="0"/>
        <w:snapToGrid w:val="0"/>
        <w:spacing w:line="300" w:lineRule="auto"/>
        <w:rPr>
          <w:rFonts w:hint="eastAsia" w:ascii="宋体" w:hAnsi="宋体" w:eastAsia="宋体" w:cs="宋体"/>
          <w:kern w:val="0"/>
          <w:sz w:val="24"/>
          <w:szCs w:val="24"/>
          <w:lang w:val="zh-CN" w:bidi="zh-CN"/>
        </w:rPr>
      </w:pPr>
    </w:p>
    <w:p w14:paraId="5EE773CB">
      <w:pPr>
        <w:adjustRightInd w:val="0"/>
        <w:snapToGrid w:val="0"/>
        <w:spacing w:line="300" w:lineRule="auto"/>
        <w:rPr>
          <w:rFonts w:hint="eastAsia" w:ascii="宋体" w:hAnsi="宋体" w:eastAsia="宋体" w:cs="宋体"/>
          <w:kern w:val="0"/>
          <w:sz w:val="24"/>
          <w:szCs w:val="24"/>
          <w:lang w:val="zh-CN" w:bidi="zh-CN"/>
        </w:rPr>
      </w:pPr>
    </w:p>
    <w:p w14:paraId="7052174C">
      <w:pPr>
        <w:adjustRightInd w:val="0"/>
        <w:snapToGrid w:val="0"/>
        <w:spacing w:line="300" w:lineRule="auto"/>
        <w:rPr>
          <w:rFonts w:hint="eastAsia" w:ascii="宋体" w:hAnsi="宋体" w:eastAsia="宋体" w:cs="宋体"/>
          <w:kern w:val="0"/>
          <w:sz w:val="24"/>
          <w:szCs w:val="24"/>
          <w:lang w:val="zh-CN" w:bidi="zh-CN"/>
        </w:rPr>
      </w:pPr>
    </w:p>
    <w:p w14:paraId="1854B5AC">
      <w:pPr>
        <w:adjustRightInd w:val="0"/>
        <w:snapToGrid w:val="0"/>
        <w:spacing w:line="300" w:lineRule="auto"/>
        <w:jc w:val="center"/>
        <w:rPr>
          <w:rFonts w:hint="eastAsia" w:ascii="宋体" w:hAnsi="宋体" w:eastAsia="宋体" w:cs="Times New Roman"/>
          <w:b/>
          <w:color w:val="000000"/>
          <w:sz w:val="28"/>
          <w:szCs w:val="36"/>
        </w:rPr>
      </w:pPr>
      <w:r>
        <w:rPr>
          <w:rFonts w:hint="eastAsia" w:ascii="宋体" w:hAnsi="宋体" w:eastAsia="宋体" w:cs="Times New Roman"/>
          <w:b/>
          <w:color w:val="000000"/>
          <w:sz w:val="28"/>
          <w:szCs w:val="36"/>
        </w:rPr>
        <w:t>十、</w:t>
      </w:r>
      <w:bookmarkStart w:id="26" w:name="_Hlk117593844"/>
      <w:r>
        <w:rPr>
          <w:rFonts w:hint="eastAsia" w:ascii="宋体" w:hAnsi="宋体" w:eastAsia="宋体" w:cs="Times New Roman"/>
          <w:b/>
          <w:color w:val="000000"/>
          <w:sz w:val="28"/>
          <w:szCs w:val="36"/>
        </w:rPr>
        <w:t>具备履行合同所必需的设备和专业技术能力的声明</w:t>
      </w:r>
      <w:bookmarkEnd w:id="26"/>
    </w:p>
    <w:p w14:paraId="04CA5317">
      <w:pPr>
        <w:adjustRightInd w:val="0"/>
        <w:snapToGrid w:val="0"/>
        <w:spacing w:line="300" w:lineRule="auto"/>
        <w:rPr>
          <w:rFonts w:hint="eastAsia" w:ascii="宋体" w:hAnsi="宋体" w:eastAsia="宋体" w:cs="宋体"/>
          <w:kern w:val="0"/>
          <w:sz w:val="24"/>
          <w:szCs w:val="24"/>
          <w:lang w:val="zh-CN" w:bidi="zh-CN"/>
        </w:rPr>
      </w:pPr>
    </w:p>
    <w:p w14:paraId="60E25765">
      <w:pPr>
        <w:adjustRightInd w:val="0"/>
        <w:snapToGrid w:val="0"/>
        <w:spacing w:line="30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具备履行合同所必需的设备和专业技术能力的声明</w:t>
      </w:r>
    </w:p>
    <w:p w14:paraId="663FA6D0">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32EF73B2">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w:t>
      </w:r>
      <w:r>
        <w:rPr>
          <w:rFonts w:ascii="宋体" w:hAnsi="宋体" w:eastAsia="宋体" w:cs="宋体"/>
          <w:kern w:val="0"/>
          <w:sz w:val="24"/>
          <w:szCs w:val="24"/>
          <w:lang w:val="zh-CN" w:bidi="zh-CN"/>
        </w:rPr>
        <w:t xml:space="preserve">                             （</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名称）郑重声明：我公司具备履行本项采购合同所必需的设备和专业技术能力，为履行本项采购合同我单位具备如下主要设备和主要专业技术能力：</w:t>
      </w:r>
    </w:p>
    <w:p w14:paraId="2736505A">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主要设备有：</w:t>
      </w:r>
      <w:r>
        <w:rPr>
          <w:rFonts w:ascii="宋体" w:hAnsi="宋体" w:eastAsia="宋体" w:cs="宋体"/>
          <w:kern w:val="0"/>
          <w:sz w:val="24"/>
          <w:szCs w:val="24"/>
          <w:lang w:val="zh-CN" w:bidi="zh-CN"/>
        </w:rPr>
        <w:t xml:space="preserve">                          。( 若有 )</w:t>
      </w:r>
    </w:p>
    <w:p w14:paraId="69B55A9E">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主要专业技术能力有：</w:t>
      </w:r>
      <w:r>
        <w:rPr>
          <w:rFonts w:ascii="宋体" w:hAnsi="宋体" w:eastAsia="宋体" w:cs="宋体"/>
          <w:kern w:val="0"/>
          <w:sz w:val="24"/>
          <w:szCs w:val="24"/>
          <w:lang w:val="zh-CN" w:bidi="zh-CN"/>
        </w:rPr>
        <w:t xml:space="preserve">                  。( 若有 )</w:t>
      </w:r>
    </w:p>
    <w:p w14:paraId="6D625C00">
      <w:pPr>
        <w:adjustRightInd w:val="0"/>
        <w:snapToGrid w:val="0"/>
        <w:spacing w:line="300" w:lineRule="auto"/>
        <w:rPr>
          <w:rFonts w:hint="eastAsia" w:ascii="宋体" w:hAnsi="宋体" w:eastAsia="宋体" w:cs="宋体"/>
          <w:kern w:val="0"/>
          <w:sz w:val="24"/>
          <w:szCs w:val="24"/>
          <w:lang w:val="zh-CN" w:bidi="zh-CN"/>
        </w:rPr>
      </w:pPr>
    </w:p>
    <w:p w14:paraId="71706ED2">
      <w:pPr>
        <w:adjustRightInd w:val="0"/>
        <w:snapToGrid w:val="0"/>
        <w:spacing w:line="300" w:lineRule="auto"/>
        <w:rPr>
          <w:rFonts w:hint="eastAsia" w:ascii="宋体" w:hAnsi="宋体" w:eastAsia="宋体" w:cs="宋体"/>
          <w:kern w:val="0"/>
          <w:sz w:val="24"/>
          <w:szCs w:val="24"/>
          <w:lang w:val="zh-CN" w:bidi="zh-CN"/>
        </w:rPr>
      </w:pPr>
    </w:p>
    <w:p w14:paraId="01587431">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声明人：（公章）</w:t>
      </w:r>
    </w:p>
    <w:p w14:paraId="396E1FB1">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______年    月    日</w:t>
      </w:r>
    </w:p>
    <w:p w14:paraId="50C2A35D">
      <w:pPr>
        <w:adjustRightInd w:val="0"/>
        <w:snapToGrid w:val="0"/>
        <w:spacing w:line="300" w:lineRule="auto"/>
        <w:rPr>
          <w:rFonts w:hint="eastAsia" w:ascii="宋体" w:hAnsi="宋体" w:eastAsia="宋体" w:cs="Times New Roman"/>
          <w:color w:val="000000"/>
          <w:szCs w:val="24"/>
        </w:rPr>
      </w:pPr>
    </w:p>
    <w:bookmarkEnd w:id="23"/>
    <w:bookmarkEnd w:id="25"/>
    <w:p w14:paraId="560218D3">
      <w:pPr>
        <w:rPr>
          <w:rFonts w:hint="eastAsia"/>
        </w:rPr>
      </w:pPr>
    </w:p>
    <w:p w14:paraId="297F4207">
      <w:pPr>
        <w:rPr>
          <w:rFonts w:hint="eastAsia"/>
        </w:rPr>
      </w:pPr>
    </w:p>
    <w:p w14:paraId="1214C530">
      <w:pPr>
        <w:rPr>
          <w:rFonts w:hint="eastAsia"/>
        </w:rPr>
      </w:pPr>
    </w:p>
    <w:p w14:paraId="41DD7038">
      <w:pPr>
        <w:rPr>
          <w:rFonts w:hint="eastAsia"/>
        </w:rPr>
      </w:pPr>
    </w:p>
    <w:p w14:paraId="6726ED82">
      <w:pPr>
        <w:rPr>
          <w:rFonts w:hint="eastAsia"/>
        </w:rPr>
      </w:pPr>
    </w:p>
    <w:p w14:paraId="5B7273E9">
      <w:pPr>
        <w:spacing w:line="360" w:lineRule="auto"/>
        <w:rPr>
          <w:rFonts w:ascii="Times New Roman" w:hAnsi="Times New Roman" w:eastAsia="宋体" w:cs="Times New Roman"/>
          <w:b/>
          <w:sz w:val="28"/>
          <w:szCs w:val="28"/>
        </w:rPr>
      </w:pPr>
    </w:p>
    <w:p w14:paraId="50D589C2">
      <w:pPr>
        <w:spacing w:line="360" w:lineRule="auto"/>
        <w:rPr>
          <w:rFonts w:ascii="Times New Roman" w:hAnsi="Times New Roman" w:eastAsia="宋体" w:cs="Times New Roman"/>
          <w:b/>
          <w:sz w:val="28"/>
          <w:szCs w:val="28"/>
        </w:rPr>
      </w:pPr>
    </w:p>
    <w:p w14:paraId="2B12C8B2">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十一、投标人认为需提供的其他资料（格式自拟）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微软雅黑"/>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微软雅黑"/>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文鼎CS中宋">
    <w:altName w:val="宋体"/>
    <w:panose1 w:val="00000000000000000000"/>
    <w:charset w:val="86"/>
    <w:family w:val="moder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NLe">
    <w:altName w:val="Times New Roman"/>
    <w:panose1 w:val="00000000000000000000"/>
    <w:charset w:val="00"/>
    <w:family w:val="auto"/>
    <w:pitch w:val="default"/>
    <w:sig w:usb0="00000000" w:usb1="00000000" w:usb2="00000000" w:usb3="00000000" w:csb0="00000000" w:csb1="00000000"/>
  </w:font>
  <w:font w:name="7BKN_gb2312">
    <w:altName w:val="Noto Serif SC"/>
    <w:panose1 w:val="00000000000000000000"/>
    <w:charset w:val="00"/>
    <w:family w:val="roman"/>
    <w:pitch w:val="default"/>
    <w:sig w:usb0="00000000" w:usb1="00000000" w:usb2="00000000" w:usb3="00000000" w:csb0="00040001" w:csb1="00000000"/>
  </w:font>
  <w:font w:name="苹方-简">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DVPKN">
    <w:altName w:val="Noto Serif SC"/>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Noto Serif SC"/>
    <w:panose1 w:val="00000000000000000000"/>
    <w:charset w:val="00"/>
    <w:family w:val="roman"/>
    <w:pitch w:val="default"/>
    <w:sig w:usb0="00000000" w:usb1="00000000" w:usb2="00000000" w:usb3="00000000" w:csb0="00040001" w:csb1="00000000"/>
  </w:font>
  <w:font w:name="*ndvpkn">
    <w:altName w:val="Noto Serif SC"/>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0000012" w:usb3="00000000" w:csb0="0002000D" w:csb1="00000000"/>
  </w:font>
  <w:font w:name="方正姚体">
    <w:panose1 w:val="02010601030101010101"/>
    <w:charset w:val="86"/>
    <w:family w:val="auto"/>
    <w:pitch w:val="default"/>
    <w:sig w:usb0="00000003"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22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2B240D7"/>
    <w:multiLevelType w:val="multilevel"/>
    <w:tmpl w:val="22B240D7"/>
    <w:lvl w:ilvl="0" w:tentative="0">
      <w:start w:val="1"/>
      <w:numFmt w:val="decimal"/>
      <w:lvlText w:val="（%1）"/>
      <w:lvlJc w:val="left"/>
      <w:pPr>
        <w:ind w:left="1080" w:hanging="60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123BE"/>
    <w:rsid w:val="000177C6"/>
    <w:rsid w:val="000247BE"/>
    <w:rsid w:val="00025EE2"/>
    <w:rsid w:val="0003323C"/>
    <w:rsid w:val="00033C32"/>
    <w:rsid w:val="00042E23"/>
    <w:rsid w:val="000452C3"/>
    <w:rsid w:val="00045BFB"/>
    <w:rsid w:val="0004612D"/>
    <w:rsid w:val="0004691B"/>
    <w:rsid w:val="000476F8"/>
    <w:rsid w:val="000477A6"/>
    <w:rsid w:val="00050FC4"/>
    <w:rsid w:val="00067257"/>
    <w:rsid w:val="000674FD"/>
    <w:rsid w:val="0007509A"/>
    <w:rsid w:val="00075BC1"/>
    <w:rsid w:val="00076F3C"/>
    <w:rsid w:val="000849C2"/>
    <w:rsid w:val="00085BDB"/>
    <w:rsid w:val="00086D0C"/>
    <w:rsid w:val="00092D20"/>
    <w:rsid w:val="0009607A"/>
    <w:rsid w:val="00097866"/>
    <w:rsid w:val="000979D3"/>
    <w:rsid w:val="000A151C"/>
    <w:rsid w:val="000A5977"/>
    <w:rsid w:val="000A7314"/>
    <w:rsid w:val="000B0C48"/>
    <w:rsid w:val="000B1B74"/>
    <w:rsid w:val="000B5A82"/>
    <w:rsid w:val="000B76CB"/>
    <w:rsid w:val="000B7D80"/>
    <w:rsid w:val="000B7E60"/>
    <w:rsid w:val="000C4E24"/>
    <w:rsid w:val="000C7A92"/>
    <w:rsid w:val="000D27C5"/>
    <w:rsid w:val="000D2A9F"/>
    <w:rsid w:val="000D6CE4"/>
    <w:rsid w:val="000E294F"/>
    <w:rsid w:val="000E5496"/>
    <w:rsid w:val="000E6C4D"/>
    <w:rsid w:val="000F1E2B"/>
    <w:rsid w:val="000F2E41"/>
    <w:rsid w:val="000F4F11"/>
    <w:rsid w:val="000F57BA"/>
    <w:rsid w:val="000F7683"/>
    <w:rsid w:val="001007D7"/>
    <w:rsid w:val="00102022"/>
    <w:rsid w:val="00103337"/>
    <w:rsid w:val="0010477F"/>
    <w:rsid w:val="00105D06"/>
    <w:rsid w:val="00114630"/>
    <w:rsid w:val="001149AD"/>
    <w:rsid w:val="00116D0D"/>
    <w:rsid w:val="0011795F"/>
    <w:rsid w:val="00121CCF"/>
    <w:rsid w:val="00135002"/>
    <w:rsid w:val="00136332"/>
    <w:rsid w:val="00137F79"/>
    <w:rsid w:val="00142326"/>
    <w:rsid w:val="00143446"/>
    <w:rsid w:val="00151D1F"/>
    <w:rsid w:val="00155DBD"/>
    <w:rsid w:val="00160FDB"/>
    <w:rsid w:val="00163E43"/>
    <w:rsid w:val="00164EF2"/>
    <w:rsid w:val="00171AE8"/>
    <w:rsid w:val="00173ABC"/>
    <w:rsid w:val="00181E31"/>
    <w:rsid w:val="00184BA3"/>
    <w:rsid w:val="00191021"/>
    <w:rsid w:val="00191B4D"/>
    <w:rsid w:val="001938B5"/>
    <w:rsid w:val="00193ACD"/>
    <w:rsid w:val="00195B34"/>
    <w:rsid w:val="001A039E"/>
    <w:rsid w:val="001A22F5"/>
    <w:rsid w:val="001A2306"/>
    <w:rsid w:val="001A3D81"/>
    <w:rsid w:val="001B3638"/>
    <w:rsid w:val="001B5DC6"/>
    <w:rsid w:val="001B78C1"/>
    <w:rsid w:val="001C0A3A"/>
    <w:rsid w:val="001C45B3"/>
    <w:rsid w:val="001C7E11"/>
    <w:rsid w:val="001D1341"/>
    <w:rsid w:val="001D4435"/>
    <w:rsid w:val="001D55F3"/>
    <w:rsid w:val="001D5C67"/>
    <w:rsid w:val="001D6EDE"/>
    <w:rsid w:val="001D76D5"/>
    <w:rsid w:val="001F213C"/>
    <w:rsid w:val="001F3D38"/>
    <w:rsid w:val="001F4EA7"/>
    <w:rsid w:val="001F5A95"/>
    <w:rsid w:val="002010CF"/>
    <w:rsid w:val="00204402"/>
    <w:rsid w:val="00204DC9"/>
    <w:rsid w:val="00211C98"/>
    <w:rsid w:val="0021707E"/>
    <w:rsid w:val="0022124C"/>
    <w:rsid w:val="00225113"/>
    <w:rsid w:val="0022661B"/>
    <w:rsid w:val="0023114B"/>
    <w:rsid w:val="0023191E"/>
    <w:rsid w:val="00232A44"/>
    <w:rsid w:val="00233AAB"/>
    <w:rsid w:val="002364F2"/>
    <w:rsid w:val="00242895"/>
    <w:rsid w:val="00244284"/>
    <w:rsid w:val="0024592F"/>
    <w:rsid w:val="00252E01"/>
    <w:rsid w:val="0025618A"/>
    <w:rsid w:val="00262C40"/>
    <w:rsid w:val="00265ED6"/>
    <w:rsid w:val="00273AA1"/>
    <w:rsid w:val="00276B7E"/>
    <w:rsid w:val="002848BB"/>
    <w:rsid w:val="0028589B"/>
    <w:rsid w:val="002909BD"/>
    <w:rsid w:val="002921F8"/>
    <w:rsid w:val="002921FC"/>
    <w:rsid w:val="00292F81"/>
    <w:rsid w:val="00296D7E"/>
    <w:rsid w:val="002A0AD8"/>
    <w:rsid w:val="002A4E27"/>
    <w:rsid w:val="002B2787"/>
    <w:rsid w:val="002B5AE2"/>
    <w:rsid w:val="002B67E2"/>
    <w:rsid w:val="002C0946"/>
    <w:rsid w:val="002C09E8"/>
    <w:rsid w:val="002C193A"/>
    <w:rsid w:val="002C2BCE"/>
    <w:rsid w:val="002C2DE6"/>
    <w:rsid w:val="002C710D"/>
    <w:rsid w:val="002D0D87"/>
    <w:rsid w:val="002D431F"/>
    <w:rsid w:val="002D4FFD"/>
    <w:rsid w:val="002D6EC4"/>
    <w:rsid w:val="002E4159"/>
    <w:rsid w:val="002E5859"/>
    <w:rsid w:val="002E7B4F"/>
    <w:rsid w:val="002F2E87"/>
    <w:rsid w:val="003014C9"/>
    <w:rsid w:val="00311C41"/>
    <w:rsid w:val="0031519F"/>
    <w:rsid w:val="0032241F"/>
    <w:rsid w:val="00325CB7"/>
    <w:rsid w:val="00325ED2"/>
    <w:rsid w:val="003307F3"/>
    <w:rsid w:val="00333048"/>
    <w:rsid w:val="003361C7"/>
    <w:rsid w:val="003373A8"/>
    <w:rsid w:val="00345108"/>
    <w:rsid w:val="003555C4"/>
    <w:rsid w:val="00357A85"/>
    <w:rsid w:val="00360EEB"/>
    <w:rsid w:val="0036628D"/>
    <w:rsid w:val="00371DB0"/>
    <w:rsid w:val="00375DDC"/>
    <w:rsid w:val="00380289"/>
    <w:rsid w:val="00380C61"/>
    <w:rsid w:val="00381EC4"/>
    <w:rsid w:val="00384A16"/>
    <w:rsid w:val="00390984"/>
    <w:rsid w:val="003A129C"/>
    <w:rsid w:val="003A2ACE"/>
    <w:rsid w:val="003A4A42"/>
    <w:rsid w:val="003A6E9A"/>
    <w:rsid w:val="003C3C4F"/>
    <w:rsid w:val="003C45F7"/>
    <w:rsid w:val="003C5BCD"/>
    <w:rsid w:val="003C76C1"/>
    <w:rsid w:val="003D0B2B"/>
    <w:rsid w:val="003D276F"/>
    <w:rsid w:val="003D32F4"/>
    <w:rsid w:val="003D393E"/>
    <w:rsid w:val="003D4E19"/>
    <w:rsid w:val="003E0F25"/>
    <w:rsid w:val="003F129B"/>
    <w:rsid w:val="00403918"/>
    <w:rsid w:val="00404130"/>
    <w:rsid w:val="00405664"/>
    <w:rsid w:val="0041455F"/>
    <w:rsid w:val="00417245"/>
    <w:rsid w:val="0042468A"/>
    <w:rsid w:val="00424983"/>
    <w:rsid w:val="00426A44"/>
    <w:rsid w:val="004335BC"/>
    <w:rsid w:val="0043638B"/>
    <w:rsid w:val="004363D3"/>
    <w:rsid w:val="00450313"/>
    <w:rsid w:val="00450DEE"/>
    <w:rsid w:val="004577BA"/>
    <w:rsid w:val="00462DD7"/>
    <w:rsid w:val="00464852"/>
    <w:rsid w:val="00464F07"/>
    <w:rsid w:val="004670CF"/>
    <w:rsid w:val="00470B6D"/>
    <w:rsid w:val="00474E35"/>
    <w:rsid w:val="00474F9B"/>
    <w:rsid w:val="00483AF2"/>
    <w:rsid w:val="00484B1A"/>
    <w:rsid w:val="00486A2C"/>
    <w:rsid w:val="00495542"/>
    <w:rsid w:val="00495959"/>
    <w:rsid w:val="004A0C63"/>
    <w:rsid w:val="004A10EC"/>
    <w:rsid w:val="004A4299"/>
    <w:rsid w:val="004A4336"/>
    <w:rsid w:val="004B20F9"/>
    <w:rsid w:val="004B777A"/>
    <w:rsid w:val="004C26DE"/>
    <w:rsid w:val="004C4A4A"/>
    <w:rsid w:val="004D219A"/>
    <w:rsid w:val="004D5CFE"/>
    <w:rsid w:val="004D7F60"/>
    <w:rsid w:val="004E71CB"/>
    <w:rsid w:val="004F3335"/>
    <w:rsid w:val="004F3478"/>
    <w:rsid w:val="004F4035"/>
    <w:rsid w:val="00500971"/>
    <w:rsid w:val="00517048"/>
    <w:rsid w:val="00523111"/>
    <w:rsid w:val="005255AD"/>
    <w:rsid w:val="00531706"/>
    <w:rsid w:val="00540BD4"/>
    <w:rsid w:val="005427A1"/>
    <w:rsid w:val="0054349E"/>
    <w:rsid w:val="00545698"/>
    <w:rsid w:val="00545C28"/>
    <w:rsid w:val="0054732A"/>
    <w:rsid w:val="00547ED7"/>
    <w:rsid w:val="005517D9"/>
    <w:rsid w:val="00552008"/>
    <w:rsid w:val="00553A8B"/>
    <w:rsid w:val="005548A0"/>
    <w:rsid w:val="00560901"/>
    <w:rsid w:val="00560AFB"/>
    <w:rsid w:val="005615DA"/>
    <w:rsid w:val="0056188E"/>
    <w:rsid w:val="005636DE"/>
    <w:rsid w:val="005639D7"/>
    <w:rsid w:val="005716FC"/>
    <w:rsid w:val="00577FFD"/>
    <w:rsid w:val="0058184E"/>
    <w:rsid w:val="005874FB"/>
    <w:rsid w:val="00595066"/>
    <w:rsid w:val="00597B9F"/>
    <w:rsid w:val="005A6F69"/>
    <w:rsid w:val="005B4280"/>
    <w:rsid w:val="005B7FF9"/>
    <w:rsid w:val="005C40F9"/>
    <w:rsid w:val="005C55ED"/>
    <w:rsid w:val="005C7889"/>
    <w:rsid w:val="005D1986"/>
    <w:rsid w:val="005D41E4"/>
    <w:rsid w:val="005D64AC"/>
    <w:rsid w:val="005D752A"/>
    <w:rsid w:val="005E243F"/>
    <w:rsid w:val="005E5153"/>
    <w:rsid w:val="005E6137"/>
    <w:rsid w:val="005E7C0B"/>
    <w:rsid w:val="005F388D"/>
    <w:rsid w:val="0060463D"/>
    <w:rsid w:val="0060675E"/>
    <w:rsid w:val="00610176"/>
    <w:rsid w:val="006103C6"/>
    <w:rsid w:val="00611206"/>
    <w:rsid w:val="00615BD7"/>
    <w:rsid w:val="006161EA"/>
    <w:rsid w:val="00623A7F"/>
    <w:rsid w:val="00623ABA"/>
    <w:rsid w:val="00626128"/>
    <w:rsid w:val="00632441"/>
    <w:rsid w:val="0063292E"/>
    <w:rsid w:val="00632A20"/>
    <w:rsid w:val="00634400"/>
    <w:rsid w:val="00640237"/>
    <w:rsid w:val="00640980"/>
    <w:rsid w:val="00645B85"/>
    <w:rsid w:val="00646F14"/>
    <w:rsid w:val="00657323"/>
    <w:rsid w:val="00662222"/>
    <w:rsid w:val="0066257C"/>
    <w:rsid w:val="00664EC7"/>
    <w:rsid w:val="00670DD5"/>
    <w:rsid w:val="00677421"/>
    <w:rsid w:val="00680106"/>
    <w:rsid w:val="00690F53"/>
    <w:rsid w:val="0069201E"/>
    <w:rsid w:val="006935C3"/>
    <w:rsid w:val="006A1DB2"/>
    <w:rsid w:val="006B235C"/>
    <w:rsid w:val="006B6B07"/>
    <w:rsid w:val="006B7CD7"/>
    <w:rsid w:val="006C015E"/>
    <w:rsid w:val="006C3A6D"/>
    <w:rsid w:val="006D1D9F"/>
    <w:rsid w:val="006E5F6F"/>
    <w:rsid w:val="006E7114"/>
    <w:rsid w:val="006F6DFA"/>
    <w:rsid w:val="0070084F"/>
    <w:rsid w:val="00700953"/>
    <w:rsid w:val="00700D1A"/>
    <w:rsid w:val="00703F5C"/>
    <w:rsid w:val="00705BE7"/>
    <w:rsid w:val="00707D33"/>
    <w:rsid w:val="007111CD"/>
    <w:rsid w:val="00720255"/>
    <w:rsid w:val="00725785"/>
    <w:rsid w:val="00733185"/>
    <w:rsid w:val="00733520"/>
    <w:rsid w:val="007417A8"/>
    <w:rsid w:val="00742089"/>
    <w:rsid w:val="00750960"/>
    <w:rsid w:val="00752398"/>
    <w:rsid w:val="00753BA3"/>
    <w:rsid w:val="007607B3"/>
    <w:rsid w:val="00763D27"/>
    <w:rsid w:val="0077086C"/>
    <w:rsid w:val="007739E9"/>
    <w:rsid w:val="0078426E"/>
    <w:rsid w:val="00786B10"/>
    <w:rsid w:val="00786DC9"/>
    <w:rsid w:val="00791436"/>
    <w:rsid w:val="0079395A"/>
    <w:rsid w:val="007A04E5"/>
    <w:rsid w:val="007A0C78"/>
    <w:rsid w:val="007A275A"/>
    <w:rsid w:val="007A47CB"/>
    <w:rsid w:val="007B21E8"/>
    <w:rsid w:val="007B309E"/>
    <w:rsid w:val="007B541E"/>
    <w:rsid w:val="007B74BA"/>
    <w:rsid w:val="007C1051"/>
    <w:rsid w:val="007C6537"/>
    <w:rsid w:val="007D20EB"/>
    <w:rsid w:val="007E5541"/>
    <w:rsid w:val="007E6D4E"/>
    <w:rsid w:val="007F748D"/>
    <w:rsid w:val="0080043C"/>
    <w:rsid w:val="00800684"/>
    <w:rsid w:val="00801410"/>
    <w:rsid w:val="00804A75"/>
    <w:rsid w:val="008067BC"/>
    <w:rsid w:val="008110AF"/>
    <w:rsid w:val="008128DA"/>
    <w:rsid w:val="008132B3"/>
    <w:rsid w:val="00814B4F"/>
    <w:rsid w:val="00815E81"/>
    <w:rsid w:val="00817B60"/>
    <w:rsid w:val="0082105A"/>
    <w:rsid w:val="00821D45"/>
    <w:rsid w:val="008239EE"/>
    <w:rsid w:val="00824B1E"/>
    <w:rsid w:val="00833B7A"/>
    <w:rsid w:val="00836198"/>
    <w:rsid w:val="00843EA1"/>
    <w:rsid w:val="00846128"/>
    <w:rsid w:val="008465EF"/>
    <w:rsid w:val="0084669D"/>
    <w:rsid w:val="00847751"/>
    <w:rsid w:val="00850066"/>
    <w:rsid w:val="008514EE"/>
    <w:rsid w:val="00855981"/>
    <w:rsid w:val="00860156"/>
    <w:rsid w:val="00862314"/>
    <w:rsid w:val="00863E50"/>
    <w:rsid w:val="00863EF5"/>
    <w:rsid w:val="00865A17"/>
    <w:rsid w:val="00880EBD"/>
    <w:rsid w:val="008816C4"/>
    <w:rsid w:val="00881C98"/>
    <w:rsid w:val="008851FC"/>
    <w:rsid w:val="00886CE2"/>
    <w:rsid w:val="00891373"/>
    <w:rsid w:val="00891E2F"/>
    <w:rsid w:val="008A187B"/>
    <w:rsid w:val="008B2E53"/>
    <w:rsid w:val="008B51BD"/>
    <w:rsid w:val="008C1CBA"/>
    <w:rsid w:val="008C35F3"/>
    <w:rsid w:val="008D614E"/>
    <w:rsid w:val="008E0405"/>
    <w:rsid w:val="008E087F"/>
    <w:rsid w:val="008E45D9"/>
    <w:rsid w:val="008E5536"/>
    <w:rsid w:val="008E5791"/>
    <w:rsid w:val="008F1701"/>
    <w:rsid w:val="009071D7"/>
    <w:rsid w:val="00917052"/>
    <w:rsid w:val="009209BE"/>
    <w:rsid w:val="00920F0F"/>
    <w:rsid w:val="00922744"/>
    <w:rsid w:val="00923730"/>
    <w:rsid w:val="00925031"/>
    <w:rsid w:val="0093581A"/>
    <w:rsid w:val="00941DC9"/>
    <w:rsid w:val="00943CC2"/>
    <w:rsid w:val="0095024B"/>
    <w:rsid w:val="00951F45"/>
    <w:rsid w:val="009553C8"/>
    <w:rsid w:val="00955D97"/>
    <w:rsid w:val="00962670"/>
    <w:rsid w:val="00966650"/>
    <w:rsid w:val="00972249"/>
    <w:rsid w:val="009766E3"/>
    <w:rsid w:val="00985220"/>
    <w:rsid w:val="00987EC5"/>
    <w:rsid w:val="00991C72"/>
    <w:rsid w:val="00996614"/>
    <w:rsid w:val="009976B9"/>
    <w:rsid w:val="009A1877"/>
    <w:rsid w:val="009A2220"/>
    <w:rsid w:val="009A64DA"/>
    <w:rsid w:val="009B0CD4"/>
    <w:rsid w:val="009B3816"/>
    <w:rsid w:val="009B41DA"/>
    <w:rsid w:val="009B4DA4"/>
    <w:rsid w:val="009C1E72"/>
    <w:rsid w:val="009C7037"/>
    <w:rsid w:val="009C7C3B"/>
    <w:rsid w:val="009D42FA"/>
    <w:rsid w:val="009D499C"/>
    <w:rsid w:val="009D63AB"/>
    <w:rsid w:val="009D7162"/>
    <w:rsid w:val="009E1571"/>
    <w:rsid w:val="009E662C"/>
    <w:rsid w:val="009F0666"/>
    <w:rsid w:val="009F3898"/>
    <w:rsid w:val="009F57A2"/>
    <w:rsid w:val="009F5997"/>
    <w:rsid w:val="00A01890"/>
    <w:rsid w:val="00A03F97"/>
    <w:rsid w:val="00A106D6"/>
    <w:rsid w:val="00A10AF3"/>
    <w:rsid w:val="00A10E32"/>
    <w:rsid w:val="00A11BFB"/>
    <w:rsid w:val="00A12658"/>
    <w:rsid w:val="00A12BFB"/>
    <w:rsid w:val="00A14E36"/>
    <w:rsid w:val="00A17A6A"/>
    <w:rsid w:val="00A21FFE"/>
    <w:rsid w:val="00A22212"/>
    <w:rsid w:val="00A27FB2"/>
    <w:rsid w:val="00A35246"/>
    <w:rsid w:val="00A53438"/>
    <w:rsid w:val="00A56103"/>
    <w:rsid w:val="00A6191D"/>
    <w:rsid w:val="00A658C1"/>
    <w:rsid w:val="00A70B1B"/>
    <w:rsid w:val="00A75AF6"/>
    <w:rsid w:val="00A94E06"/>
    <w:rsid w:val="00A972C4"/>
    <w:rsid w:val="00AA4DBC"/>
    <w:rsid w:val="00AA5934"/>
    <w:rsid w:val="00AA6144"/>
    <w:rsid w:val="00AC7CC6"/>
    <w:rsid w:val="00AD0670"/>
    <w:rsid w:val="00AD37B5"/>
    <w:rsid w:val="00AD7A03"/>
    <w:rsid w:val="00AE3E8E"/>
    <w:rsid w:val="00AF1FD7"/>
    <w:rsid w:val="00B030B2"/>
    <w:rsid w:val="00B14A78"/>
    <w:rsid w:val="00B2172F"/>
    <w:rsid w:val="00B321BA"/>
    <w:rsid w:val="00B41B64"/>
    <w:rsid w:val="00B44235"/>
    <w:rsid w:val="00B457CC"/>
    <w:rsid w:val="00B51893"/>
    <w:rsid w:val="00B57C1E"/>
    <w:rsid w:val="00B66A71"/>
    <w:rsid w:val="00B76CD8"/>
    <w:rsid w:val="00B9434A"/>
    <w:rsid w:val="00B94553"/>
    <w:rsid w:val="00BA1CC0"/>
    <w:rsid w:val="00BA4C0A"/>
    <w:rsid w:val="00BA7871"/>
    <w:rsid w:val="00BB0041"/>
    <w:rsid w:val="00BB2530"/>
    <w:rsid w:val="00BB53B1"/>
    <w:rsid w:val="00BB674E"/>
    <w:rsid w:val="00BC23D1"/>
    <w:rsid w:val="00BC3102"/>
    <w:rsid w:val="00BC6E83"/>
    <w:rsid w:val="00BD1EBC"/>
    <w:rsid w:val="00BD4D6B"/>
    <w:rsid w:val="00BD672B"/>
    <w:rsid w:val="00BD71A2"/>
    <w:rsid w:val="00BE22B3"/>
    <w:rsid w:val="00BF2C19"/>
    <w:rsid w:val="00BF405E"/>
    <w:rsid w:val="00BF543A"/>
    <w:rsid w:val="00C00C40"/>
    <w:rsid w:val="00C03942"/>
    <w:rsid w:val="00C0684E"/>
    <w:rsid w:val="00C12E99"/>
    <w:rsid w:val="00C162E9"/>
    <w:rsid w:val="00C173D9"/>
    <w:rsid w:val="00C20743"/>
    <w:rsid w:val="00C22F77"/>
    <w:rsid w:val="00C25164"/>
    <w:rsid w:val="00C257ED"/>
    <w:rsid w:val="00C30128"/>
    <w:rsid w:val="00C31456"/>
    <w:rsid w:val="00C3170E"/>
    <w:rsid w:val="00C3234E"/>
    <w:rsid w:val="00C32C0A"/>
    <w:rsid w:val="00C361EE"/>
    <w:rsid w:val="00C3748A"/>
    <w:rsid w:val="00C42590"/>
    <w:rsid w:val="00C4396A"/>
    <w:rsid w:val="00C469A4"/>
    <w:rsid w:val="00C47896"/>
    <w:rsid w:val="00C5607A"/>
    <w:rsid w:val="00C71335"/>
    <w:rsid w:val="00C73C8B"/>
    <w:rsid w:val="00C74119"/>
    <w:rsid w:val="00C74128"/>
    <w:rsid w:val="00C750C6"/>
    <w:rsid w:val="00C80489"/>
    <w:rsid w:val="00C82360"/>
    <w:rsid w:val="00C870AA"/>
    <w:rsid w:val="00C9190A"/>
    <w:rsid w:val="00C95C30"/>
    <w:rsid w:val="00CA4AD9"/>
    <w:rsid w:val="00CA6B6B"/>
    <w:rsid w:val="00CB54E8"/>
    <w:rsid w:val="00CB673F"/>
    <w:rsid w:val="00CC5C93"/>
    <w:rsid w:val="00CD24C0"/>
    <w:rsid w:val="00CE0D66"/>
    <w:rsid w:val="00CE4869"/>
    <w:rsid w:val="00CE57C0"/>
    <w:rsid w:val="00CE6652"/>
    <w:rsid w:val="00CE6763"/>
    <w:rsid w:val="00CF514E"/>
    <w:rsid w:val="00D014ED"/>
    <w:rsid w:val="00D03A01"/>
    <w:rsid w:val="00D04CE9"/>
    <w:rsid w:val="00D14EE1"/>
    <w:rsid w:val="00D1500D"/>
    <w:rsid w:val="00D3051D"/>
    <w:rsid w:val="00D30C22"/>
    <w:rsid w:val="00D31903"/>
    <w:rsid w:val="00D4153A"/>
    <w:rsid w:val="00D4438B"/>
    <w:rsid w:val="00D463CE"/>
    <w:rsid w:val="00D507C5"/>
    <w:rsid w:val="00D56034"/>
    <w:rsid w:val="00D60ECF"/>
    <w:rsid w:val="00D73918"/>
    <w:rsid w:val="00D80F06"/>
    <w:rsid w:val="00D83D25"/>
    <w:rsid w:val="00D86264"/>
    <w:rsid w:val="00D91301"/>
    <w:rsid w:val="00D93D79"/>
    <w:rsid w:val="00D93F24"/>
    <w:rsid w:val="00D94602"/>
    <w:rsid w:val="00D97F6F"/>
    <w:rsid w:val="00DA4F45"/>
    <w:rsid w:val="00DA63D6"/>
    <w:rsid w:val="00DB0998"/>
    <w:rsid w:val="00DB11B1"/>
    <w:rsid w:val="00DB1266"/>
    <w:rsid w:val="00DB48F7"/>
    <w:rsid w:val="00DB6016"/>
    <w:rsid w:val="00DC0831"/>
    <w:rsid w:val="00DC0D8D"/>
    <w:rsid w:val="00DC17D7"/>
    <w:rsid w:val="00DC4927"/>
    <w:rsid w:val="00DC4FEE"/>
    <w:rsid w:val="00DC5BCB"/>
    <w:rsid w:val="00DC7DDD"/>
    <w:rsid w:val="00DD3613"/>
    <w:rsid w:val="00DD6900"/>
    <w:rsid w:val="00DE0DEA"/>
    <w:rsid w:val="00DE0E63"/>
    <w:rsid w:val="00DE2D85"/>
    <w:rsid w:val="00DE3573"/>
    <w:rsid w:val="00DE725A"/>
    <w:rsid w:val="00DE7832"/>
    <w:rsid w:val="00DF291B"/>
    <w:rsid w:val="00E06E7C"/>
    <w:rsid w:val="00E11D38"/>
    <w:rsid w:val="00E203B1"/>
    <w:rsid w:val="00E23FD4"/>
    <w:rsid w:val="00E26226"/>
    <w:rsid w:val="00E315E7"/>
    <w:rsid w:val="00E31741"/>
    <w:rsid w:val="00E3703C"/>
    <w:rsid w:val="00E44879"/>
    <w:rsid w:val="00E51CFC"/>
    <w:rsid w:val="00E52142"/>
    <w:rsid w:val="00E5373F"/>
    <w:rsid w:val="00E62386"/>
    <w:rsid w:val="00E62DC8"/>
    <w:rsid w:val="00E647AA"/>
    <w:rsid w:val="00E70B1F"/>
    <w:rsid w:val="00E70C0B"/>
    <w:rsid w:val="00E70C16"/>
    <w:rsid w:val="00E71D96"/>
    <w:rsid w:val="00E94422"/>
    <w:rsid w:val="00EA21B5"/>
    <w:rsid w:val="00EA545C"/>
    <w:rsid w:val="00EB06D1"/>
    <w:rsid w:val="00EB458D"/>
    <w:rsid w:val="00EB6137"/>
    <w:rsid w:val="00EC1566"/>
    <w:rsid w:val="00ED36B1"/>
    <w:rsid w:val="00EE2322"/>
    <w:rsid w:val="00EE6D9D"/>
    <w:rsid w:val="00EF01DF"/>
    <w:rsid w:val="00EF0FFB"/>
    <w:rsid w:val="00EF5EDF"/>
    <w:rsid w:val="00F040FD"/>
    <w:rsid w:val="00F042B7"/>
    <w:rsid w:val="00F0442A"/>
    <w:rsid w:val="00F24498"/>
    <w:rsid w:val="00F24953"/>
    <w:rsid w:val="00F3245F"/>
    <w:rsid w:val="00F4245C"/>
    <w:rsid w:val="00F50F31"/>
    <w:rsid w:val="00F52425"/>
    <w:rsid w:val="00F53AF4"/>
    <w:rsid w:val="00F541F9"/>
    <w:rsid w:val="00F561B4"/>
    <w:rsid w:val="00F56A3B"/>
    <w:rsid w:val="00F61A1B"/>
    <w:rsid w:val="00F661B1"/>
    <w:rsid w:val="00F732F6"/>
    <w:rsid w:val="00F76FCA"/>
    <w:rsid w:val="00F805F3"/>
    <w:rsid w:val="00F81F54"/>
    <w:rsid w:val="00F85898"/>
    <w:rsid w:val="00F858A7"/>
    <w:rsid w:val="00F908A7"/>
    <w:rsid w:val="00F90BA9"/>
    <w:rsid w:val="00F95A8A"/>
    <w:rsid w:val="00FA0381"/>
    <w:rsid w:val="00FA04BE"/>
    <w:rsid w:val="00FA22D0"/>
    <w:rsid w:val="00FA3642"/>
    <w:rsid w:val="00FA56B6"/>
    <w:rsid w:val="00FB00E4"/>
    <w:rsid w:val="00FB074E"/>
    <w:rsid w:val="00FB77D7"/>
    <w:rsid w:val="00FC184A"/>
    <w:rsid w:val="00FC18C6"/>
    <w:rsid w:val="00FD1ABC"/>
    <w:rsid w:val="00FE0476"/>
    <w:rsid w:val="00FE6525"/>
    <w:rsid w:val="00FF1EAF"/>
    <w:rsid w:val="00FF5F55"/>
    <w:rsid w:val="4EDEAD2B"/>
    <w:rsid w:val="5D6719A3"/>
    <w:rsid w:val="776FE406"/>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qFormat/>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34"/>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qFormat/>
    <w:uiPriority w:val="99"/>
    <w:pPr>
      <w:ind w:firstLine="420" w:firstLineChars="200"/>
    </w:pPr>
  </w:style>
  <w:style w:type="paragraph" w:customStyle="1" w:styleId="555">
    <w:name w:val="Revision"/>
    <w:hidden/>
    <w:semiHidden/>
    <w:uiPriority w:val="99"/>
    <w:rPr>
      <w:rFonts w:asciiTheme="minorHAnsi" w:hAnsiTheme="minorHAnsi" w:eastAsiaTheme="minorEastAsia" w:cstheme="minorBidi"/>
      <w:kern w:val="2"/>
      <w:sz w:val="21"/>
      <w:szCs w:val="22"/>
      <w:lang w:val="en-US" w:eastAsia="zh-CN" w:bidi="ar-SA"/>
    </w:rPr>
  </w:style>
  <w:style w:type="paragraph" w:styleId="556">
    <w:name w:val="No Spacing"/>
    <w:qFormat/>
    <w:uiPriority w:val="99"/>
    <w:pPr>
      <w:widowControl w:val="0"/>
      <w:adjustRightInd w:val="0"/>
      <w:snapToGrid w:val="0"/>
    </w:pPr>
    <w:rPr>
      <w:rFonts w:ascii="宋体" w:hAnsi="宋体" w:eastAsia="宋体" w:cs="微软雅黑"/>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48F5-8F6D-499D-AAF9-A6BBC9D2BFF5}">
  <ds:schemaRefs/>
</ds:datastoreItem>
</file>

<file path=docProps/app.xml><?xml version="1.0" encoding="utf-8"?>
<Properties xmlns="http://schemas.openxmlformats.org/officeDocument/2006/extended-properties" xmlns:vt="http://schemas.openxmlformats.org/officeDocument/2006/docPropsVTypes">
  <Template>Normal</Template>
  <Pages>32</Pages>
  <Words>7230</Words>
  <Characters>7498</Characters>
  <Lines>113</Lines>
  <Paragraphs>31</Paragraphs>
  <TotalTime>18</TotalTime>
  <ScaleCrop>false</ScaleCrop>
  <LinksUpToDate>false</LinksUpToDate>
  <CharactersWithSpaces>7561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2025-09-29T01:55:00Z</dcterms:created>
  <dc:creator>张 屹</dc:creator>
  <cp:lastModifiedBy>努力努力再努力的吴小宝</cp:lastModifiedBy>
  <cp:lastPrinted>2023-03-04T14:19:00Z</cp:lastPrinted>
  <dcterms:modified xsi:type="dcterms:W3CDTF">2025-10-15T08:27:24Z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462B5F4E19814B13AB9A95E470107964_13</vt:lpwstr>
  </property>
</Properties>
</file>