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19" w:name="_GoBack"/>
      <w:bookmarkEnd w:id="19"/>
    </w:p>
    <w:p w14:paraId="0B93FCD0">
      <w:pPr>
        <w:jc w:val="center"/>
        <w:rPr>
          <w:rFonts w:hint="eastAsia" w:ascii="方正姚体" w:hAnsi="宋体" w:eastAsia="方正姚体" w:cs="Times New Roman"/>
          <w:b/>
          <w:sz w:val="40"/>
          <w:szCs w:val="40"/>
        </w:rPr>
      </w:pPr>
    </w:p>
    <w:p w14:paraId="128BEA19">
      <w:pPr>
        <w:jc w:val="center"/>
        <w:rPr>
          <w:rFonts w:hint="eastAsia" w:ascii="方正姚体" w:hAnsi="宋体" w:eastAsia="方正姚体" w:cs="Times New Roman"/>
          <w:b/>
          <w:sz w:val="40"/>
          <w:szCs w:val="40"/>
        </w:rPr>
      </w:pPr>
    </w:p>
    <w:p w14:paraId="665F9B61">
      <w:pPr>
        <w:spacing w:line="300" w:lineRule="auto"/>
        <w:ind w:right="-913" w:rightChars="-435"/>
        <w:jc w:val="center"/>
        <w:rPr>
          <w:rFonts w:hint="eastAsia" w:ascii="宋体" w:hAnsi="宋体" w:eastAsia="宋体" w:cs="Times New Roman"/>
          <w:b/>
          <w:sz w:val="48"/>
          <w:szCs w:val="48"/>
        </w:rPr>
      </w:pPr>
      <w:r>
        <w:rPr>
          <w:rFonts w:hint="eastAsia" w:ascii="宋体" w:hAnsi="宋体" w:eastAsia="宋体" w:cs="Times New Roman"/>
          <w:b/>
          <w:sz w:val="48"/>
          <w:szCs w:val="48"/>
        </w:rPr>
        <w:t>金审学院校园环境提升及功能改造</w:t>
      </w:r>
    </w:p>
    <w:p w14:paraId="589A58B6">
      <w:pPr>
        <w:spacing w:line="300" w:lineRule="auto"/>
        <w:ind w:right="-913" w:rightChars="-435"/>
        <w:jc w:val="center"/>
        <w:rPr>
          <w:rFonts w:ascii="黑体" w:hAnsi="Calibri" w:eastAsia="黑体" w:cs="Times New Roman"/>
          <w:sz w:val="72"/>
          <w:szCs w:val="72"/>
        </w:rPr>
      </w:pPr>
      <w:r>
        <w:rPr>
          <w:rFonts w:hint="eastAsia" w:ascii="宋体" w:hAnsi="宋体" w:eastAsia="宋体" w:cs="Times New Roman"/>
          <w:b/>
          <w:sz w:val="48"/>
          <w:szCs w:val="48"/>
        </w:rPr>
        <w:t>设计服务项目</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2025年12月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13</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15</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27</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03A3A381">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金审学院校园环境提升及功能改造设计服务项目已由项目审批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1、项目名称：金审学院校园环境提升及功能改造设计服务项目</w:t>
      </w:r>
    </w:p>
    <w:p w14:paraId="0B4CC4F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2、建设地点：栖霞区仙林大道100号</w:t>
      </w:r>
    </w:p>
    <w:p w14:paraId="33E76EA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w:t>
      </w:r>
      <w:r>
        <w:rPr>
          <w:rFonts w:ascii="宋体" w:hAnsi="宋体" w:eastAsia="宋体" w:cs="Times New Roman"/>
          <w:sz w:val="24"/>
          <w:lang w:val="zh-CN"/>
        </w:rPr>
        <w:t>招标范围</w:t>
      </w:r>
      <w:r>
        <w:rPr>
          <w:rFonts w:hint="eastAsia" w:ascii="宋体" w:hAnsi="宋体" w:eastAsia="宋体"/>
          <w:bCs/>
          <w:sz w:val="24"/>
          <w:szCs w:val="24"/>
        </w:rPr>
        <w:t>：（1）校园西侧主干道、大操场东侧主干道和自孔子像向北、操场向东的人行道整体出新（含道路和景观绿化）；（2）学校北门设计改造，沿仙林大道北侧的图书馆外立面出新设计；（3）各建筑亮化、部分建筑需要功能优化改造；（4）教学区、宿舍区室内外环境设计等。</w:t>
      </w:r>
      <w:r>
        <w:rPr>
          <w:rFonts w:hint="eastAsia" w:ascii="宋体" w:hAnsi="宋体" w:eastAsia="宋体" w:cs="Times New Roman"/>
          <w:sz w:val="24"/>
          <w:lang w:val="zh-CN"/>
        </w:rPr>
        <w:t>具体内容祥见第四章项目需求。</w:t>
      </w:r>
    </w:p>
    <w:p w14:paraId="3609542E">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4、最高限价：15万元人民币</w:t>
      </w:r>
    </w:p>
    <w:p w14:paraId="566DF258">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5、合同履行期限：合同签订后40日内完成</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6、采购方式：竞争性磋商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504A6D15">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2、具备建设行政主管部门颁发的建筑行业设计乙级及以上资质。</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、具有良好的商业信誉和健全的财务会计制度（提供202</w:t>
      </w:r>
      <w:r>
        <w:rPr>
          <w:rFonts w:hint="eastAsia" w:ascii="宋体" w:hAnsi="宋体" w:eastAsia="宋体" w:cs="Times New Roman"/>
          <w:sz w:val="24"/>
        </w:rPr>
        <w:t>4</w:t>
      </w:r>
      <w:r>
        <w:rPr>
          <w:rFonts w:ascii="宋体" w:hAnsi="宋体" w:eastAsia="宋体" w:cs="Times New Roman"/>
          <w:sz w:val="24"/>
        </w:rPr>
        <w:t>年度经审计的财务</w:t>
      </w:r>
      <w:r>
        <w:rPr>
          <w:rFonts w:hint="eastAsia" w:ascii="宋体" w:hAnsi="宋体" w:eastAsia="宋体" w:cs="Times New Roman"/>
          <w:sz w:val="24"/>
        </w:rPr>
        <w:t>状况报告</w:t>
      </w:r>
      <w:r>
        <w:rPr>
          <w:rFonts w:ascii="宋体" w:hAnsi="宋体" w:eastAsia="宋体" w:cs="Times New Roman"/>
          <w:sz w:val="24"/>
        </w:rPr>
        <w:t>）；</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8</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1、获取时间：从 202</w:t>
      </w:r>
      <w:r>
        <w:rPr>
          <w:rFonts w:hint="eastAsia" w:ascii="宋体" w:hAnsi="宋体" w:eastAsia="宋体" w:cs="Times New Roman"/>
          <w:sz w:val="24"/>
          <w:lang w:val="zh-CN"/>
        </w:rPr>
        <w:t>5</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17</w:t>
      </w:r>
      <w:r>
        <w:rPr>
          <w:rFonts w:ascii="宋体" w:hAnsi="宋体" w:eastAsia="宋体" w:cs="Times New Roman"/>
          <w:sz w:val="24"/>
          <w:lang w:val="zh-CN"/>
        </w:rPr>
        <w:t>日09时00分到202</w:t>
      </w:r>
      <w:r>
        <w:rPr>
          <w:rFonts w:hint="eastAsia" w:ascii="宋体" w:hAnsi="宋体" w:eastAsia="宋体" w:cs="Times New Roman"/>
          <w:sz w:val="24"/>
          <w:lang w:val="zh-CN"/>
        </w:rPr>
        <w:t>5</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23</w:t>
      </w:r>
      <w:r>
        <w:rPr>
          <w:rFonts w:ascii="宋体" w:hAnsi="宋体" w:eastAsia="宋体" w:cs="Times New Roman"/>
          <w:sz w:val="24"/>
          <w:lang w:val="zh-CN"/>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2、报名资料：包括委托人将单位介绍信或法人授权委托书、领取文件登记表（详见附件）、文件费转账截图发送至邮箱。本项目只接受网上报名，受理报名邮箱为zbb_naujsc@163.com，报名联系人：张老师025-85780003</w:t>
      </w:r>
    </w:p>
    <w:p w14:paraId="7C11D69C">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sz w:val="24"/>
          <w:lang w:val="zh-CN"/>
        </w:rPr>
        <w:t>3</w:t>
      </w:r>
      <w:r>
        <w:rPr>
          <w:rFonts w:ascii="宋体" w:hAnsi="宋体" w:eastAsia="宋体" w:cs="Times New Roman"/>
          <w:sz w:val="24"/>
          <w:lang w:val="zh-CN"/>
        </w:rPr>
        <w:t>00元，售后不退。文件费电汇至如下账户：南京审计大学金审学院，开户银行名称：</w:t>
      </w:r>
      <w:r>
        <w:rPr>
          <w:rFonts w:hint="eastAsia" w:ascii="宋体" w:hAnsi="宋体" w:eastAsia="宋体" w:cs="Times New Roman"/>
          <w:sz w:val="24"/>
          <w:lang w:val="zh-CN"/>
        </w:rPr>
        <w:t>工商银行栖霞支行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w:t>
      </w:r>
      <w:r>
        <w:rPr>
          <w:rFonts w:hint="eastAsia" w:ascii="宋体" w:hAnsi="宋体" w:eastAsia="宋体" w:cs="Times New Roman"/>
          <w:sz w:val="24"/>
          <w:lang w:val="zh-CN"/>
        </w:rPr>
        <w:t>出新设计</w:t>
      </w:r>
      <w:r>
        <w:rPr>
          <w:rFonts w:ascii="宋体" w:hAnsi="宋体" w:eastAsia="宋体" w:cs="Times New Roman"/>
          <w:sz w:val="24"/>
          <w:lang w:val="zh-CN"/>
        </w:rPr>
        <w:t>。</w:t>
      </w:r>
      <w:r>
        <w:rPr>
          <w:rFonts w:hint="eastAsia" w:ascii="宋体" w:hAnsi="宋体" w:eastAsia="宋体" w:cs="Times New Roman"/>
          <w:sz w:val="24"/>
          <w:lang w:val="zh-CN"/>
        </w:rPr>
        <w:t>招标文件见公告附件。</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bookmarkStart w:id="2" w:name="_Hlk183505892"/>
      <w:r>
        <w:rPr>
          <w:rFonts w:hint="eastAsia" w:ascii="宋体" w:hAnsi="宋体" w:eastAsia="宋体" w:cs="Times New Roman"/>
          <w:sz w:val="24"/>
        </w:rPr>
        <w:t>1、响应文件提交开始时间：2025年12月30日9时00分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2、响应文件提交截止时间：2025年12月30日9时30分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3、响应文件提交地点：南京市栖霞区仙林大道100号行政楼一楼会议室（如修改开标地点，招标人另行通知）。</w:t>
      </w:r>
    </w:p>
    <w:p w14:paraId="1B469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响应文件份数：纸质版响应文件一式叁份（壹份正本、贰份副本），电子版响应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p>
    <w:bookmarkEnd w:id="2"/>
    <w:p w14:paraId="62C4FAD7">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sz w:val="24"/>
        </w:rPr>
        <w:t>202</w:t>
      </w:r>
      <w:r>
        <w:rPr>
          <w:rFonts w:hint="eastAsia" w:ascii="宋体" w:hAnsi="宋体" w:eastAsia="宋体" w:cs="Times New Roman"/>
          <w:sz w:val="24"/>
        </w:rPr>
        <w:t>5</w:t>
      </w:r>
      <w:r>
        <w:rPr>
          <w:rFonts w:ascii="宋体" w:hAnsi="宋体" w:eastAsia="宋体" w:cs="Times New Roman"/>
          <w:sz w:val="24"/>
        </w:rPr>
        <w:t>年</w:t>
      </w:r>
      <w:r>
        <w:rPr>
          <w:rFonts w:hint="eastAsia" w:ascii="宋体" w:hAnsi="宋体" w:eastAsia="宋体" w:cs="Times New Roman"/>
          <w:sz w:val="24"/>
        </w:rPr>
        <w:t>12</w:t>
      </w:r>
      <w:r>
        <w:rPr>
          <w:rFonts w:ascii="宋体" w:hAnsi="宋体" w:eastAsia="宋体" w:cs="Times New Roman"/>
          <w:sz w:val="24"/>
        </w:rPr>
        <w:t>月</w:t>
      </w:r>
      <w:r>
        <w:rPr>
          <w:rFonts w:hint="eastAsia" w:ascii="宋体" w:hAnsi="宋体" w:eastAsia="宋体" w:cs="Times New Roman"/>
          <w:sz w:val="24"/>
        </w:rPr>
        <w:t>30</w:t>
      </w:r>
      <w:r>
        <w:rPr>
          <w:rFonts w:ascii="宋体" w:hAnsi="宋体" w:eastAsia="宋体" w:cs="Times New Roman"/>
          <w:sz w:val="24"/>
        </w:rPr>
        <w:t>日</w:t>
      </w:r>
      <w:r>
        <w:rPr>
          <w:rFonts w:hint="eastAsia" w:ascii="宋体" w:hAnsi="宋体" w:eastAsia="宋体" w:cs="Times New Roman"/>
          <w:sz w:val="24"/>
        </w:rPr>
        <w:t>9</w:t>
      </w:r>
      <w:r>
        <w:rPr>
          <w:rFonts w:ascii="宋体" w:hAnsi="宋体" w:eastAsia="宋体" w:cs="Times New Roman"/>
          <w:sz w:val="24"/>
        </w:rPr>
        <w:t>时</w:t>
      </w:r>
      <w:r>
        <w:rPr>
          <w:rFonts w:hint="eastAsia" w:ascii="宋体" w:hAnsi="宋体" w:eastAsia="宋体" w:cs="Times New Roman"/>
          <w:sz w:val="24"/>
        </w:rPr>
        <w:t>30</w:t>
      </w:r>
      <w:r>
        <w:rPr>
          <w:rFonts w:ascii="宋体" w:hAnsi="宋体" w:eastAsia="宋体" w:cs="Times New Roman"/>
          <w:sz w:val="24"/>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w:t>
      </w:r>
      <w:bookmarkStart w:id="3" w:name="_Hlk183505934"/>
      <w:r>
        <w:rPr>
          <w:rFonts w:hint="eastAsia" w:ascii="宋体" w:hAnsi="宋体" w:eastAsia="宋体" w:cs="Times New Roman"/>
          <w:sz w:val="24"/>
        </w:rPr>
        <w:t>南京市栖霞区仙林大道100号行政楼一楼会议室（如修改开标地点，招标人另行通知）。</w:t>
      </w:r>
      <w:bookmarkEnd w:id="3"/>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4896C3A3">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招标联</w:t>
      </w:r>
      <w:r>
        <w:rPr>
          <w:rFonts w:ascii="宋体" w:hAnsi="宋体" w:eastAsia="宋体" w:cs="Times New Roman"/>
          <w:sz w:val="24"/>
          <w:lang w:val="zh-CN"/>
        </w:rPr>
        <w:t>系人：张老师</w:t>
      </w:r>
    </w:p>
    <w:p w14:paraId="5ADC15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电</w:t>
      </w:r>
      <w:r>
        <w:rPr>
          <w:rFonts w:ascii="宋体" w:hAnsi="宋体" w:eastAsia="宋体" w:cs="Times New Roman"/>
          <w:sz w:val="24"/>
          <w:lang w:val="zh-CN"/>
        </w:rPr>
        <w:t xml:space="preserve"> 话：025-85780003 </w:t>
      </w:r>
    </w:p>
    <w:p w14:paraId="5C323EA5">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项目联系人（勘察）：周老师</w:t>
      </w:r>
    </w:p>
    <w:p w14:paraId="531D90E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电话：137 7033 1556</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4" w:name="_Toc179553568"/>
      <w:r>
        <w:rPr>
          <w:rFonts w:hint="eastAsia" w:ascii="宋体" w:hAnsi="宋体" w:eastAsia="宋体" w:cs="宋体"/>
          <w:b/>
          <w:bCs/>
          <w:kern w:val="0"/>
          <w:sz w:val="36"/>
          <w:szCs w:val="36"/>
        </w:rPr>
        <w:t>第二章  投标人须知</w:t>
      </w:r>
      <w:bookmarkEnd w:id="4"/>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5"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金审学院校园环境提升及功能改造设计服务项目</w:t>
      </w:r>
    </w:p>
    <w:p w14:paraId="1195D613">
      <w:pPr>
        <w:spacing w:line="360" w:lineRule="auto"/>
        <w:ind w:firstLine="475" w:firstLineChars="198"/>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金审学院校园环境提升及功能改造设计服务项目，详见磋商文件第四章项目需求。</w:t>
      </w:r>
    </w:p>
    <w:p w14:paraId="3C4246EF">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rPr>
        <w:t>3</w:t>
      </w:r>
      <w:r>
        <w:rPr>
          <w:rFonts w:hint="eastAsia" w:ascii="宋体" w:hAnsi="宋体" w:eastAsia="宋体" w:cs="Times New Roman"/>
          <w:bCs/>
          <w:sz w:val="24"/>
        </w:rPr>
        <w:t>、合同履行期限：</w:t>
      </w:r>
      <w:r>
        <w:rPr>
          <w:rFonts w:hint="eastAsia" w:ascii="宋体" w:hAnsi="宋体" w:eastAsia="宋体" w:cs="Times New Roman"/>
          <w:sz w:val="24"/>
          <w:lang w:val="zh-CN"/>
        </w:rPr>
        <w:t>合同签订后40日内完成</w:t>
      </w:r>
    </w:p>
    <w:bookmarkEnd w:id="5"/>
    <w:p w14:paraId="55A802D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204205CA">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1、价格部分是对服务价格构成的说明，磋商文件如没有特别说明的话，对每一项服务仅接受一个价格。</w:t>
      </w:r>
    </w:p>
    <w:p w14:paraId="1FE4CAE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2、报价应包含完成本服务项目发生的所有含税费用、支付给员工的工资和国家强制缴纳的各种社会保障资金，以及供应商认为需要的其他费用等。</w:t>
      </w:r>
    </w:p>
    <w:p w14:paraId="27490CC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3、供应商应充分考虑到市场价格变动，以及项目实施过程中的不可预见因素，一旦成交，总价格不变。如果有漏项，视同让利。</w:t>
      </w:r>
    </w:p>
    <w:p w14:paraId="5DA0667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4、经磋商后，如果成交价高于或低于供应商在响应文件首次报价的，分项报价同比例调整。</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一、磋商申请及声明</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二、法定代表人授权委托书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三、拟投入项目人员汇总表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四、近三年类似项目业绩表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五、商务条款偏离表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六、技术条款偏离表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七、技术方案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八、无重大违法记录声明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九、投标人认为需提供的其他资料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6" w:name="_Hlk85095957"/>
    </w:p>
    <w:bookmarkEnd w:id="6"/>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7" w:name="_Toc179553569"/>
      <w:r>
        <w:rPr>
          <w:rFonts w:hint="eastAsia" w:ascii="宋体" w:hAnsi="宋体" w:eastAsia="宋体" w:cs="宋体"/>
          <w:b/>
          <w:bCs/>
          <w:kern w:val="0"/>
          <w:sz w:val="36"/>
          <w:szCs w:val="21"/>
        </w:rPr>
        <w:t>第三章  评标方法及标准</w:t>
      </w:r>
      <w:bookmarkEnd w:id="7"/>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77"/>
        <w:gridCol w:w="1374"/>
        <w:gridCol w:w="4438"/>
        <w:gridCol w:w="992"/>
      </w:tblGrid>
      <w:tr w14:paraId="10E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FC0BA11">
            <w:pPr>
              <w:widowControl/>
              <w:spacing w:line="360" w:lineRule="auto"/>
              <w:jc w:val="center"/>
              <w:rPr>
                <w:rFonts w:hint="eastAsia" w:ascii="宋体" w:hAnsi="宋体" w:eastAsia="宋体"/>
                <w:b/>
                <w:szCs w:val="21"/>
              </w:rPr>
            </w:pPr>
            <w:r>
              <w:rPr>
                <w:rFonts w:hint="eastAsia" w:ascii="宋体" w:hAnsi="宋体" w:eastAsia="宋体"/>
                <w:b/>
                <w:szCs w:val="21"/>
              </w:rPr>
              <w:t>序号</w:t>
            </w:r>
          </w:p>
        </w:tc>
        <w:tc>
          <w:tcPr>
            <w:tcW w:w="1177" w:type="dxa"/>
            <w:vAlign w:val="center"/>
          </w:tcPr>
          <w:p w14:paraId="438DA43C">
            <w:pPr>
              <w:widowControl/>
              <w:spacing w:line="360" w:lineRule="auto"/>
              <w:jc w:val="center"/>
              <w:rPr>
                <w:rFonts w:hint="eastAsia" w:ascii="宋体" w:hAnsi="宋体" w:eastAsia="宋体"/>
                <w:b/>
                <w:szCs w:val="21"/>
              </w:rPr>
            </w:pPr>
            <w:r>
              <w:rPr>
                <w:rFonts w:hint="eastAsia" w:ascii="宋体" w:hAnsi="宋体" w:eastAsia="宋体"/>
                <w:b/>
                <w:szCs w:val="21"/>
              </w:rPr>
              <w:t>评审</w:t>
            </w:r>
          </w:p>
          <w:p w14:paraId="2BE25802">
            <w:pPr>
              <w:widowControl/>
              <w:spacing w:line="360" w:lineRule="auto"/>
              <w:jc w:val="center"/>
              <w:rPr>
                <w:rFonts w:hint="eastAsia" w:ascii="宋体" w:hAnsi="宋体" w:eastAsia="宋体"/>
                <w:b/>
                <w:szCs w:val="21"/>
              </w:rPr>
            </w:pPr>
            <w:r>
              <w:rPr>
                <w:rFonts w:hint="eastAsia" w:ascii="宋体" w:hAnsi="宋体" w:eastAsia="宋体"/>
                <w:b/>
                <w:szCs w:val="21"/>
              </w:rPr>
              <w:t>因素</w:t>
            </w:r>
          </w:p>
        </w:tc>
        <w:tc>
          <w:tcPr>
            <w:tcW w:w="5812" w:type="dxa"/>
            <w:gridSpan w:val="2"/>
            <w:vAlign w:val="center"/>
          </w:tcPr>
          <w:p w14:paraId="2556FFC6">
            <w:pPr>
              <w:widowControl/>
              <w:spacing w:line="360" w:lineRule="auto"/>
              <w:jc w:val="center"/>
              <w:rPr>
                <w:rFonts w:hint="eastAsia" w:ascii="宋体" w:hAnsi="宋体" w:eastAsia="宋体"/>
                <w:b/>
                <w:szCs w:val="21"/>
              </w:rPr>
            </w:pPr>
            <w:r>
              <w:rPr>
                <w:rFonts w:hint="eastAsia" w:ascii="宋体" w:hAnsi="宋体" w:eastAsia="宋体"/>
                <w:b/>
                <w:szCs w:val="21"/>
              </w:rPr>
              <w:t>评审标准</w:t>
            </w:r>
          </w:p>
        </w:tc>
        <w:tc>
          <w:tcPr>
            <w:tcW w:w="992" w:type="dxa"/>
            <w:vAlign w:val="center"/>
          </w:tcPr>
          <w:p w14:paraId="159F0781">
            <w:pPr>
              <w:widowControl/>
              <w:spacing w:line="360" w:lineRule="auto"/>
              <w:jc w:val="center"/>
              <w:rPr>
                <w:rFonts w:hint="eastAsia" w:ascii="宋体" w:hAnsi="宋体" w:eastAsia="宋体"/>
                <w:b/>
                <w:szCs w:val="21"/>
              </w:rPr>
            </w:pPr>
            <w:r>
              <w:rPr>
                <w:rFonts w:hint="eastAsia" w:ascii="宋体" w:hAnsi="宋体" w:eastAsia="宋体"/>
                <w:b/>
                <w:szCs w:val="21"/>
              </w:rPr>
              <w:t>分值</w:t>
            </w:r>
          </w:p>
        </w:tc>
      </w:tr>
      <w:tr w14:paraId="5CD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C05918">
            <w:pPr>
              <w:widowControl/>
              <w:spacing w:line="360" w:lineRule="auto"/>
              <w:jc w:val="center"/>
              <w:rPr>
                <w:rFonts w:hint="eastAsia" w:ascii="宋体" w:hAnsi="宋体" w:eastAsia="宋体"/>
                <w:b/>
                <w:szCs w:val="21"/>
              </w:rPr>
            </w:pPr>
            <w:r>
              <w:rPr>
                <w:rFonts w:hint="eastAsia" w:ascii="宋体" w:hAnsi="宋体" w:eastAsia="宋体"/>
                <w:b/>
                <w:szCs w:val="21"/>
              </w:rPr>
              <w:t>1</w:t>
            </w:r>
          </w:p>
        </w:tc>
        <w:tc>
          <w:tcPr>
            <w:tcW w:w="1177" w:type="dxa"/>
            <w:vAlign w:val="center"/>
          </w:tcPr>
          <w:p w14:paraId="6D2F54EC">
            <w:pPr>
              <w:widowControl/>
              <w:spacing w:line="360" w:lineRule="auto"/>
              <w:jc w:val="center"/>
              <w:rPr>
                <w:rFonts w:hint="eastAsia" w:ascii="宋体" w:hAnsi="宋体" w:eastAsia="宋体"/>
                <w:b/>
                <w:szCs w:val="21"/>
              </w:rPr>
            </w:pPr>
            <w:r>
              <w:rPr>
                <w:rFonts w:hint="eastAsia" w:ascii="宋体" w:hAnsi="宋体" w:eastAsia="宋体"/>
                <w:b/>
                <w:szCs w:val="21"/>
              </w:rPr>
              <w:t>价格</w:t>
            </w:r>
          </w:p>
        </w:tc>
        <w:tc>
          <w:tcPr>
            <w:tcW w:w="5812" w:type="dxa"/>
            <w:gridSpan w:val="2"/>
            <w:vAlign w:val="center"/>
          </w:tcPr>
          <w:p w14:paraId="6E13A147">
            <w:pPr>
              <w:spacing w:line="360" w:lineRule="auto"/>
              <w:jc w:val="left"/>
              <w:rPr>
                <w:rFonts w:hint="eastAsia" w:ascii="宋体" w:hAnsi="宋体" w:eastAsia="宋体"/>
                <w:szCs w:val="21"/>
              </w:rPr>
            </w:pPr>
            <w:r>
              <w:rPr>
                <w:rFonts w:hint="eastAsia" w:ascii="宋体" w:hAnsi="宋体" w:eastAsia="宋体"/>
                <w:szCs w:val="21"/>
              </w:rPr>
              <w:t>价格分采用低价优先法计算，即满足招标文件要求且投标价格最低的投标报价为评标基准价，其价格分为满分。</w:t>
            </w:r>
          </w:p>
          <w:p w14:paraId="021F10E4">
            <w:pPr>
              <w:spacing w:line="360" w:lineRule="auto"/>
              <w:jc w:val="left"/>
              <w:rPr>
                <w:rFonts w:hint="eastAsia" w:ascii="宋体" w:hAnsi="宋体" w:eastAsia="宋体"/>
                <w:szCs w:val="21"/>
              </w:rPr>
            </w:pPr>
            <w:r>
              <w:rPr>
                <w:rFonts w:hint="eastAsia" w:ascii="宋体" w:hAnsi="宋体" w:eastAsia="宋体"/>
                <w:szCs w:val="21"/>
              </w:rPr>
              <w:t>其他供应商的价格分统一按照下列公式计算（小数点保留两位）：</w:t>
            </w:r>
          </w:p>
          <w:p w14:paraId="17EAF1F5">
            <w:pPr>
              <w:spacing w:line="360" w:lineRule="auto"/>
              <w:jc w:val="left"/>
              <w:rPr>
                <w:rFonts w:hint="eastAsia" w:ascii="宋体" w:hAnsi="宋体" w:eastAsia="宋体"/>
                <w:szCs w:val="21"/>
              </w:rPr>
            </w:pPr>
            <w:r>
              <w:rPr>
                <w:rFonts w:hint="eastAsia" w:ascii="宋体" w:hAnsi="宋体" w:eastAsia="宋体"/>
                <w:szCs w:val="21"/>
              </w:rPr>
              <w:t>投标报价得分=(评标基准价／投标报价)×20。</w:t>
            </w:r>
          </w:p>
        </w:tc>
        <w:tc>
          <w:tcPr>
            <w:tcW w:w="992" w:type="dxa"/>
            <w:vAlign w:val="center"/>
          </w:tcPr>
          <w:p w14:paraId="2B50FBAD">
            <w:pPr>
              <w:widowControl/>
              <w:spacing w:line="360" w:lineRule="auto"/>
              <w:jc w:val="center"/>
              <w:rPr>
                <w:rFonts w:hint="eastAsia" w:ascii="宋体" w:hAnsi="宋体" w:eastAsia="宋体"/>
                <w:b/>
                <w:bCs/>
                <w:szCs w:val="21"/>
              </w:rPr>
            </w:pPr>
            <w:r>
              <w:rPr>
                <w:rFonts w:hint="eastAsia" w:ascii="宋体" w:hAnsi="宋体" w:eastAsia="宋体"/>
                <w:b/>
                <w:bCs/>
                <w:szCs w:val="21"/>
              </w:rPr>
              <w:t>20</w:t>
            </w:r>
          </w:p>
        </w:tc>
      </w:tr>
      <w:tr w14:paraId="5C7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5" w:type="dxa"/>
            <w:vMerge w:val="restart"/>
            <w:vAlign w:val="center"/>
          </w:tcPr>
          <w:p w14:paraId="3FDB7575">
            <w:pPr>
              <w:spacing w:line="360" w:lineRule="auto"/>
              <w:jc w:val="center"/>
              <w:rPr>
                <w:rFonts w:hint="eastAsia" w:ascii="宋体" w:hAnsi="宋体" w:eastAsia="宋体"/>
                <w:b/>
                <w:szCs w:val="21"/>
              </w:rPr>
            </w:pPr>
            <w:r>
              <w:rPr>
                <w:rFonts w:hint="eastAsia" w:ascii="宋体" w:hAnsi="宋体" w:eastAsia="宋体"/>
                <w:b/>
                <w:szCs w:val="21"/>
              </w:rPr>
              <w:t>2.1</w:t>
            </w:r>
          </w:p>
        </w:tc>
        <w:tc>
          <w:tcPr>
            <w:tcW w:w="1177" w:type="dxa"/>
            <w:vMerge w:val="restart"/>
            <w:vAlign w:val="center"/>
          </w:tcPr>
          <w:p w14:paraId="1B12D2E6">
            <w:pPr>
              <w:spacing w:line="360" w:lineRule="auto"/>
              <w:jc w:val="center"/>
              <w:rPr>
                <w:rFonts w:hint="eastAsia" w:ascii="宋体" w:hAnsi="宋体" w:eastAsia="宋体"/>
                <w:b/>
                <w:szCs w:val="21"/>
              </w:rPr>
            </w:pPr>
            <w:r>
              <w:rPr>
                <w:rFonts w:hint="eastAsia" w:ascii="宋体" w:hAnsi="宋体" w:eastAsia="宋体"/>
                <w:b/>
                <w:szCs w:val="21"/>
              </w:rPr>
              <w:t>设计方案</w:t>
            </w:r>
          </w:p>
        </w:tc>
        <w:tc>
          <w:tcPr>
            <w:tcW w:w="1374" w:type="dxa"/>
          </w:tcPr>
          <w:p w14:paraId="29449A8C">
            <w:pPr>
              <w:spacing w:line="360" w:lineRule="auto"/>
              <w:jc w:val="left"/>
              <w:rPr>
                <w:rFonts w:hint="eastAsia" w:ascii="宋体" w:hAnsi="宋体" w:eastAsia="宋体"/>
                <w:szCs w:val="21"/>
              </w:rPr>
            </w:pPr>
          </w:p>
          <w:p w14:paraId="5126FCC9">
            <w:pPr>
              <w:snapToGrid w:val="0"/>
              <w:spacing w:line="360" w:lineRule="auto"/>
              <w:jc w:val="left"/>
              <w:rPr>
                <w:rFonts w:hint="eastAsia" w:ascii="宋体" w:hAnsi="宋体" w:eastAsia="宋体"/>
                <w:szCs w:val="21"/>
              </w:rPr>
            </w:pPr>
            <w:r>
              <w:rPr>
                <w:rFonts w:ascii="宋体" w:hAnsi="宋体" w:eastAsia="宋体"/>
                <w:szCs w:val="21"/>
              </w:rPr>
              <w:t>项目理解 (0~ 10.00)</w:t>
            </w:r>
          </w:p>
        </w:tc>
        <w:tc>
          <w:tcPr>
            <w:tcW w:w="4438" w:type="dxa"/>
          </w:tcPr>
          <w:p w14:paraId="6B67D601">
            <w:pPr>
              <w:pStyle w:val="557"/>
              <w:spacing w:before="105" w:line="360" w:lineRule="auto"/>
              <w:ind w:left="106" w:right="144"/>
              <w:rPr>
                <w:rFonts w:hint="eastAsia" w:cstheme="minorBidi"/>
                <w:snapToGrid/>
                <w:color w:val="auto"/>
                <w:kern w:val="2"/>
                <w:lang w:eastAsia="zh-CN"/>
              </w:rPr>
            </w:pPr>
            <w:r>
              <w:rPr>
                <w:rFonts w:cstheme="minorBidi"/>
                <w:snapToGrid/>
                <w:color w:val="auto"/>
                <w:kern w:val="2"/>
                <w:lang w:eastAsia="zh-CN"/>
              </w:rPr>
              <w:t>设计总体思路清晰、完整、合理；根据项目特点合理应用技术标准，设计经济、适用、安全、美观；体现精细化和创新性，融入节能环保理念。</w:t>
            </w:r>
          </w:p>
          <w:p w14:paraId="212BE171">
            <w:pPr>
              <w:snapToGrid w:val="0"/>
              <w:spacing w:line="360" w:lineRule="auto"/>
              <w:jc w:val="left"/>
              <w:rPr>
                <w:rFonts w:hint="eastAsia" w:ascii="宋体" w:hAnsi="宋体" w:eastAsia="宋体"/>
                <w:szCs w:val="21"/>
              </w:rPr>
            </w:pPr>
            <w:r>
              <w:rPr>
                <w:rFonts w:ascii="宋体" w:hAnsi="宋体" w:eastAsia="宋体"/>
                <w:szCs w:val="21"/>
              </w:rPr>
              <w:t>(优=10.00;良=</w:t>
            </w:r>
            <w:r>
              <w:rPr>
                <w:rFonts w:hint="eastAsia" w:ascii="宋体" w:hAnsi="宋体" w:eastAsia="宋体"/>
                <w:szCs w:val="21"/>
              </w:rPr>
              <w:t>8</w:t>
            </w:r>
            <w:r>
              <w:rPr>
                <w:rFonts w:ascii="宋体" w:hAnsi="宋体" w:eastAsia="宋体"/>
                <w:szCs w:val="21"/>
              </w:rPr>
              <w:t>.00;中=</w:t>
            </w:r>
            <w:r>
              <w:rPr>
                <w:rFonts w:hint="eastAsia" w:ascii="宋体" w:hAnsi="宋体" w:eastAsia="宋体"/>
                <w:szCs w:val="21"/>
              </w:rPr>
              <w:t>6</w:t>
            </w:r>
            <w:r>
              <w:rPr>
                <w:rFonts w:ascii="宋体" w:hAnsi="宋体" w:eastAsia="宋体"/>
                <w:szCs w:val="21"/>
              </w:rPr>
              <w:t>.00;差=</w:t>
            </w:r>
            <w:r>
              <w:rPr>
                <w:rFonts w:hint="eastAsia" w:ascii="宋体" w:hAnsi="宋体" w:eastAsia="宋体"/>
                <w:szCs w:val="21"/>
              </w:rPr>
              <w:t>4</w:t>
            </w:r>
            <w:r>
              <w:rPr>
                <w:rFonts w:ascii="宋体" w:hAnsi="宋体" w:eastAsia="宋体"/>
                <w:szCs w:val="21"/>
              </w:rPr>
              <w:t>.00;无=0)</w:t>
            </w:r>
          </w:p>
        </w:tc>
        <w:tc>
          <w:tcPr>
            <w:tcW w:w="992" w:type="dxa"/>
            <w:vMerge w:val="restart"/>
            <w:vAlign w:val="center"/>
          </w:tcPr>
          <w:p w14:paraId="5FBC78B8">
            <w:pPr>
              <w:snapToGrid w:val="0"/>
              <w:spacing w:line="360" w:lineRule="auto"/>
              <w:jc w:val="center"/>
              <w:rPr>
                <w:rFonts w:hint="eastAsia" w:ascii="宋体" w:hAnsi="宋体" w:eastAsia="宋体"/>
                <w:b/>
                <w:szCs w:val="21"/>
              </w:rPr>
            </w:pPr>
            <w:r>
              <w:rPr>
                <w:rFonts w:hint="eastAsia" w:ascii="宋体" w:hAnsi="宋体" w:eastAsia="宋体"/>
                <w:b/>
                <w:szCs w:val="21"/>
              </w:rPr>
              <w:t>50</w:t>
            </w:r>
          </w:p>
        </w:tc>
      </w:tr>
      <w:tr w14:paraId="4E64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5" w:type="dxa"/>
            <w:vMerge w:val="continue"/>
            <w:vAlign w:val="center"/>
          </w:tcPr>
          <w:p w14:paraId="4B0D8316">
            <w:pPr>
              <w:spacing w:line="360" w:lineRule="auto"/>
              <w:jc w:val="center"/>
              <w:rPr>
                <w:rFonts w:hint="eastAsia" w:ascii="宋体" w:hAnsi="宋体" w:eastAsia="宋体"/>
                <w:b/>
                <w:szCs w:val="21"/>
              </w:rPr>
            </w:pPr>
          </w:p>
        </w:tc>
        <w:tc>
          <w:tcPr>
            <w:tcW w:w="1177" w:type="dxa"/>
            <w:vMerge w:val="continue"/>
            <w:vAlign w:val="center"/>
          </w:tcPr>
          <w:p w14:paraId="606AB2CA">
            <w:pPr>
              <w:spacing w:line="360" w:lineRule="auto"/>
              <w:jc w:val="center"/>
              <w:rPr>
                <w:rFonts w:hint="eastAsia" w:ascii="宋体" w:hAnsi="宋体" w:eastAsia="宋体"/>
                <w:b/>
                <w:szCs w:val="21"/>
              </w:rPr>
            </w:pPr>
          </w:p>
        </w:tc>
        <w:tc>
          <w:tcPr>
            <w:tcW w:w="1374" w:type="dxa"/>
          </w:tcPr>
          <w:p w14:paraId="06216DBF">
            <w:pPr>
              <w:spacing w:line="360" w:lineRule="auto"/>
              <w:jc w:val="left"/>
              <w:rPr>
                <w:rFonts w:hint="eastAsia" w:ascii="宋体" w:hAnsi="宋体" w:eastAsia="宋体"/>
                <w:szCs w:val="21"/>
              </w:rPr>
            </w:pPr>
          </w:p>
          <w:p w14:paraId="480D7FBF">
            <w:pPr>
              <w:snapToGrid w:val="0"/>
              <w:spacing w:line="360" w:lineRule="auto"/>
              <w:jc w:val="left"/>
              <w:rPr>
                <w:rFonts w:hint="eastAsia" w:ascii="宋体" w:hAnsi="宋体" w:eastAsia="宋体"/>
                <w:szCs w:val="21"/>
              </w:rPr>
            </w:pPr>
            <w:r>
              <w:rPr>
                <w:rFonts w:ascii="宋体" w:hAnsi="宋体" w:eastAsia="宋体"/>
                <w:szCs w:val="21"/>
              </w:rPr>
              <w:t>项目重难点分析</w:t>
            </w:r>
          </w:p>
          <w:p w14:paraId="7859DA61">
            <w:pPr>
              <w:snapToGrid w:val="0"/>
              <w:spacing w:line="360" w:lineRule="auto"/>
              <w:jc w:val="left"/>
              <w:rPr>
                <w:rFonts w:hint="eastAsia" w:ascii="宋体" w:hAnsi="宋体" w:eastAsia="宋体"/>
                <w:szCs w:val="21"/>
              </w:rPr>
            </w:pPr>
            <w:r>
              <w:rPr>
                <w:rFonts w:ascii="宋体" w:hAnsi="宋体" w:eastAsia="宋体"/>
                <w:szCs w:val="21"/>
              </w:rPr>
              <w:t>(0~ 10.00)</w:t>
            </w:r>
          </w:p>
        </w:tc>
        <w:tc>
          <w:tcPr>
            <w:tcW w:w="4438" w:type="dxa"/>
          </w:tcPr>
          <w:p w14:paraId="6A510342">
            <w:pPr>
              <w:pStyle w:val="557"/>
              <w:spacing w:before="100" w:line="360" w:lineRule="auto"/>
              <w:ind w:left="102" w:right="144" w:firstLine="7"/>
              <w:rPr>
                <w:rFonts w:hint="eastAsia" w:cstheme="minorBidi"/>
                <w:snapToGrid/>
                <w:color w:val="auto"/>
                <w:kern w:val="2"/>
                <w:lang w:eastAsia="zh-CN"/>
              </w:rPr>
            </w:pPr>
            <w:r>
              <w:rPr>
                <w:rFonts w:cstheme="minorBidi"/>
                <w:snapToGrid/>
                <w:color w:val="auto"/>
                <w:kern w:val="2"/>
                <w:lang w:eastAsia="zh-CN"/>
              </w:rPr>
              <w:t>结合学校现状情况、道路情况对项目实施方案的重难点进行可行性分析，以及对项目的改造更新建设过程中的其他可能存在的重点、难点问题进行深入剖析。</w:t>
            </w:r>
          </w:p>
          <w:p w14:paraId="2A1BA3C4">
            <w:pPr>
              <w:snapToGrid w:val="0"/>
              <w:spacing w:line="360" w:lineRule="auto"/>
              <w:jc w:val="left"/>
              <w:rPr>
                <w:rFonts w:hint="eastAsia" w:ascii="宋体" w:hAnsi="宋体" w:eastAsia="宋体"/>
                <w:szCs w:val="21"/>
              </w:rPr>
            </w:pPr>
            <w:r>
              <w:rPr>
                <w:rFonts w:ascii="宋体" w:hAnsi="宋体" w:eastAsia="宋体"/>
                <w:szCs w:val="21"/>
              </w:rPr>
              <w:t>(优=10.00;良=</w:t>
            </w:r>
            <w:r>
              <w:rPr>
                <w:rFonts w:hint="eastAsia" w:ascii="宋体" w:hAnsi="宋体" w:eastAsia="宋体"/>
                <w:szCs w:val="21"/>
              </w:rPr>
              <w:t>8</w:t>
            </w:r>
            <w:r>
              <w:rPr>
                <w:rFonts w:ascii="宋体" w:hAnsi="宋体" w:eastAsia="宋体"/>
                <w:szCs w:val="21"/>
              </w:rPr>
              <w:t>.00;中=</w:t>
            </w:r>
            <w:r>
              <w:rPr>
                <w:rFonts w:hint="eastAsia" w:ascii="宋体" w:hAnsi="宋体" w:eastAsia="宋体"/>
                <w:szCs w:val="21"/>
              </w:rPr>
              <w:t>6</w:t>
            </w:r>
            <w:r>
              <w:rPr>
                <w:rFonts w:ascii="宋体" w:hAnsi="宋体" w:eastAsia="宋体"/>
                <w:szCs w:val="21"/>
              </w:rPr>
              <w:t>.00;差=</w:t>
            </w:r>
            <w:r>
              <w:rPr>
                <w:rFonts w:hint="eastAsia" w:ascii="宋体" w:hAnsi="宋体" w:eastAsia="宋体"/>
                <w:szCs w:val="21"/>
              </w:rPr>
              <w:t>4</w:t>
            </w:r>
            <w:r>
              <w:rPr>
                <w:rFonts w:ascii="宋体" w:hAnsi="宋体" w:eastAsia="宋体"/>
                <w:szCs w:val="21"/>
              </w:rPr>
              <w:t>.00;无=0)</w:t>
            </w:r>
          </w:p>
        </w:tc>
        <w:tc>
          <w:tcPr>
            <w:tcW w:w="992" w:type="dxa"/>
            <w:vMerge w:val="continue"/>
            <w:vAlign w:val="center"/>
          </w:tcPr>
          <w:p w14:paraId="016658AB">
            <w:pPr>
              <w:snapToGrid w:val="0"/>
              <w:spacing w:line="360" w:lineRule="auto"/>
              <w:jc w:val="center"/>
              <w:rPr>
                <w:rFonts w:hint="eastAsia" w:ascii="宋体" w:hAnsi="宋体" w:eastAsia="宋体"/>
                <w:b/>
                <w:szCs w:val="21"/>
              </w:rPr>
            </w:pPr>
          </w:p>
        </w:tc>
      </w:tr>
      <w:tr w14:paraId="3C2D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5" w:type="dxa"/>
            <w:vMerge w:val="continue"/>
            <w:vAlign w:val="center"/>
          </w:tcPr>
          <w:p w14:paraId="37A64066">
            <w:pPr>
              <w:spacing w:line="360" w:lineRule="auto"/>
              <w:jc w:val="center"/>
              <w:rPr>
                <w:rFonts w:hint="eastAsia" w:ascii="宋体" w:hAnsi="宋体" w:eastAsia="宋体"/>
                <w:b/>
                <w:szCs w:val="21"/>
              </w:rPr>
            </w:pPr>
          </w:p>
        </w:tc>
        <w:tc>
          <w:tcPr>
            <w:tcW w:w="1177" w:type="dxa"/>
            <w:vMerge w:val="continue"/>
            <w:vAlign w:val="center"/>
          </w:tcPr>
          <w:p w14:paraId="000167FE">
            <w:pPr>
              <w:spacing w:line="360" w:lineRule="auto"/>
              <w:jc w:val="center"/>
              <w:rPr>
                <w:rFonts w:hint="eastAsia" w:ascii="宋体" w:hAnsi="宋体" w:eastAsia="宋体"/>
                <w:b/>
                <w:szCs w:val="21"/>
              </w:rPr>
            </w:pPr>
          </w:p>
        </w:tc>
        <w:tc>
          <w:tcPr>
            <w:tcW w:w="1374" w:type="dxa"/>
          </w:tcPr>
          <w:p w14:paraId="5D374F15">
            <w:pPr>
              <w:spacing w:line="360" w:lineRule="auto"/>
              <w:jc w:val="left"/>
              <w:rPr>
                <w:rFonts w:hint="eastAsia" w:ascii="宋体" w:hAnsi="宋体" w:eastAsia="宋体"/>
                <w:szCs w:val="21"/>
              </w:rPr>
            </w:pPr>
          </w:p>
          <w:p w14:paraId="46CA944A">
            <w:pPr>
              <w:spacing w:line="360" w:lineRule="auto"/>
              <w:jc w:val="left"/>
              <w:rPr>
                <w:rFonts w:hint="eastAsia" w:ascii="宋体" w:hAnsi="宋体" w:eastAsia="宋体"/>
                <w:szCs w:val="21"/>
              </w:rPr>
            </w:pPr>
          </w:p>
          <w:p w14:paraId="50FF3412">
            <w:pPr>
              <w:snapToGrid w:val="0"/>
              <w:spacing w:line="360" w:lineRule="auto"/>
              <w:jc w:val="left"/>
              <w:rPr>
                <w:rFonts w:hint="eastAsia" w:ascii="宋体" w:hAnsi="宋体" w:eastAsia="宋体"/>
                <w:szCs w:val="21"/>
              </w:rPr>
            </w:pPr>
            <w:r>
              <w:rPr>
                <w:rFonts w:ascii="宋体" w:hAnsi="宋体" w:eastAsia="宋体"/>
                <w:szCs w:val="21"/>
              </w:rPr>
              <w:t>总体及各专业设计方案(0~ 10.00)</w:t>
            </w:r>
          </w:p>
        </w:tc>
        <w:tc>
          <w:tcPr>
            <w:tcW w:w="4438" w:type="dxa"/>
          </w:tcPr>
          <w:p w14:paraId="13C6AC9C">
            <w:pPr>
              <w:pStyle w:val="557"/>
              <w:spacing w:before="102" w:line="360" w:lineRule="auto"/>
              <w:ind w:left="103" w:right="144"/>
              <w:rPr>
                <w:rFonts w:hint="eastAsia" w:cstheme="minorBidi"/>
                <w:snapToGrid/>
                <w:color w:val="auto"/>
                <w:kern w:val="2"/>
                <w:lang w:eastAsia="zh-CN"/>
              </w:rPr>
            </w:pPr>
            <w:r>
              <w:rPr>
                <w:rFonts w:cstheme="minorBidi"/>
                <w:snapToGrid/>
                <w:color w:val="auto"/>
                <w:kern w:val="2"/>
                <w:lang w:eastAsia="zh-CN"/>
              </w:rPr>
              <w:t>布局是否合理，是否符合正常使用需要，交通流线组织清晰、顺畅、互不干扰；是否符合消防及疏散要求；是否满足国家及地方现行相关法律法规。提供总平面布置图及相关效果图</w:t>
            </w:r>
            <w:r>
              <w:rPr>
                <w:rFonts w:hint="eastAsia" w:cstheme="minorBidi"/>
                <w:snapToGrid/>
                <w:color w:val="auto"/>
                <w:kern w:val="2"/>
                <w:lang w:eastAsia="zh-CN"/>
              </w:rPr>
              <w:t>（效果图不少于4张）</w:t>
            </w:r>
            <w:r>
              <w:rPr>
                <w:rFonts w:cstheme="minorBidi"/>
                <w:snapToGrid/>
                <w:color w:val="auto"/>
                <w:kern w:val="2"/>
                <w:lang w:eastAsia="zh-CN"/>
              </w:rPr>
              <w:t>。各专业提供工程设计方案及相关图纸，其中建筑专业提供立面改造图纸，水电需提供总体管线布置图，景观专业提供总体布置图。</w:t>
            </w:r>
          </w:p>
          <w:p w14:paraId="697D643D">
            <w:pPr>
              <w:snapToGrid w:val="0"/>
              <w:spacing w:line="360" w:lineRule="auto"/>
              <w:jc w:val="left"/>
              <w:rPr>
                <w:rFonts w:hint="eastAsia" w:ascii="宋体" w:hAnsi="宋体" w:eastAsia="宋体"/>
                <w:szCs w:val="21"/>
              </w:rPr>
            </w:pPr>
            <w:r>
              <w:rPr>
                <w:rFonts w:ascii="宋体" w:hAnsi="宋体" w:eastAsia="宋体"/>
                <w:szCs w:val="21"/>
              </w:rPr>
              <w:t>(优=10.00;良=</w:t>
            </w:r>
            <w:r>
              <w:rPr>
                <w:rFonts w:hint="eastAsia" w:ascii="宋体" w:hAnsi="宋体" w:eastAsia="宋体"/>
                <w:szCs w:val="21"/>
              </w:rPr>
              <w:t>8</w:t>
            </w:r>
            <w:r>
              <w:rPr>
                <w:rFonts w:ascii="宋体" w:hAnsi="宋体" w:eastAsia="宋体"/>
                <w:szCs w:val="21"/>
              </w:rPr>
              <w:t>.00;中=</w:t>
            </w:r>
            <w:r>
              <w:rPr>
                <w:rFonts w:hint="eastAsia" w:ascii="宋体" w:hAnsi="宋体" w:eastAsia="宋体"/>
                <w:szCs w:val="21"/>
              </w:rPr>
              <w:t>6</w:t>
            </w:r>
            <w:r>
              <w:rPr>
                <w:rFonts w:ascii="宋体" w:hAnsi="宋体" w:eastAsia="宋体"/>
                <w:szCs w:val="21"/>
              </w:rPr>
              <w:t>.00;差=</w:t>
            </w:r>
            <w:r>
              <w:rPr>
                <w:rFonts w:hint="eastAsia" w:ascii="宋体" w:hAnsi="宋体" w:eastAsia="宋体"/>
                <w:szCs w:val="21"/>
              </w:rPr>
              <w:t>4</w:t>
            </w:r>
            <w:r>
              <w:rPr>
                <w:rFonts w:ascii="宋体" w:hAnsi="宋体" w:eastAsia="宋体"/>
                <w:szCs w:val="21"/>
              </w:rPr>
              <w:t>.00;无=0)</w:t>
            </w:r>
          </w:p>
        </w:tc>
        <w:tc>
          <w:tcPr>
            <w:tcW w:w="992" w:type="dxa"/>
            <w:vMerge w:val="continue"/>
            <w:vAlign w:val="center"/>
          </w:tcPr>
          <w:p w14:paraId="0A7B6DBA">
            <w:pPr>
              <w:snapToGrid w:val="0"/>
              <w:spacing w:line="360" w:lineRule="auto"/>
              <w:jc w:val="center"/>
              <w:rPr>
                <w:rFonts w:hint="eastAsia" w:ascii="宋体" w:hAnsi="宋体" w:eastAsia="宋体"/>
                <w:b/>
                <w:szCs w:val="21"/>
              </w:rPr>
            </w:pPr>
          </w:p>
        </w:tc>
      </w:tr>
      <w:tr w14:paraId="49D6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5" w:type="dxa"/>
            <w:vMerge w:val="continue"/>
            <w:vAlign w:val="center"/>
          </w:tcPr>
          <w:p w14:paraId="5592E405">
            <w:pPr>
              <w:spacing w:line="360" w:lineRule="auto"/>
              <w:jc w:val="center"/>
              <w:rPr>
                <w:rFonts w:hint="eastAsia" w:ascii="宋体" w:hAnsi="宋体" w:eastAsia="宋体"/>
                <w:b/>
                <w:szCs w:val="21"/>
              </w:rPr>
            </w:pPr>
          </w:p>
        </w:tc>
        <w:tc>
          <w:tcPr>
            <w:tcW w:w="1177" w:type="dxa"/>
            <w:vMerge w:val="continue"/>
            <w:vAlign w:val="center"/>
          </w:tcPr>
          <w:p w14:paraId="7F4264A9">
            <w:pPr>
              <w:spacing w:line="360" w:lineRule="auto"/>
              <w:jc w:val="center"/>
              <w:rPr>
                <w:rFonts w:hint="eastAsia" w:ascii="宋体" w:hAnsi="宋体" w:eastAsia="宋体"/>
                <w:b/>
                <w:szCs w:val="21"/>
              </w:rPr>
            </w:pPr>
          </w:p>
        </w:tc>
        <w:tc>
          <w:tcPr>
            <w:tcW w:w="1374" w:type="dxa"/>
          </w:tcPr>
          <w:p w14:paraId="5D1E50F2">
            <w:pPr>
              <w:spacing w:line="360" w:lineRule="auto"/>
              <w:jc w:val="left"/>
              <w:rPr>
                <w:rFonts w:hint="eastAsia" w:ascii="宋体" w:hAnsi="宋体" w:eastAsia="宋体"/>
                <w:szCs w:val="21"/>
              </w:rPr>
            </w:pPr>
          </w:p>
          <w:p w14:paraId="311CA739">
            <w:pPr>
              <w:snapToGrid w:val="0"/>
              <w:spacing w:line="360" w:lineRule="auto"/>
              <w:jc w:val="left"/>
              <w:rPr>
                <w:rFonts w:hint="eastAsia" w:ascii="宋体" w:hAnsi="宋体" w:eastAsia="宋体"/>
                <w:szCs w:val="21"/>
              </w:rPr>
            </w:pPr>
            <w:r>
              <w:rPr>
                <w:rFonts w:ascii="宋体" w:hAnsi="宋体" w:eastAsia="宋体"/>
                <w:szCs w:val="21"/>
              </w:rPr>
              <w:t>细部设计方案(0~ 10.00)</w:t>
            </w:r>
          </w:p>
        </w:tc>
        <w:tc>
          <w:tcPr>
            <w:tcW w:w="4438" w:type="dxa"/>
          </w:tcPr>
          <w:p w14:paraId="75EF627A">
            <w:pPr>
              <w:pStyle w:val="557"/>
              <w:spacing w:before="119" w:line="360" w:lineRule="auto"/>
              <w:ind w:left="102" w:right="144" w:firstLine="4"/>
              <w:rPr>
                <w:rFonts w:hint="eastAsia" w:cstheme="minorBidi"/>
                <w:snapToGrid/>
                <w:color w:val="auto"/>
                <w:kern w:val="2"/>
                <w:lang w:eastAsia="zh-CN"/>
              </w:rPr>
            </w:pPr>
            <w:r>
              <w:rPr>
                <w:rFonts w:cstheme="minorBidi"/>
                <w:snapToGrid/>
                <w:color w:val="auto"/>
                <w:kern w:val="2"/>
                <w:lang w:eastAsia="zh-CN"/>
              </w:rPr>
              <w:t>室内相关效果展示及平面布局图纸，主要立面改造工艺做法节点，材料选用是否经济、节能、环保；关键技术问题有深入的表述，解决方案经济安全、切实可行，措施得力。</w:t>
            </w:r>
          </w:p>
          <w:p w14:paraId="33480B0D">
            <w:pPr>
              <w:snapToGrid w:val="0"/>
              <w:spacing w:line="360" w:lineRule="auto"/>
              <w:jc w:val="left"/>
              <w:rPr>
                <w:rFonts w:hint="eastAsia" w:ascii="宋体" w:hAnsi="宋体" w:eastAsia="宋体"/>
                <w:szCs w:val="21"/>
              </w:rPr>
            </w:pPr>
            <w:r>
              <w:rPr>
                <w:rFonts w:ascii="宋体" w:hAnsi="宋体" w:eastAsia="宋体"/>
                <w:szCs w:val="21"/>
              </w:rPr>
              <w:t>(优=10.00;良=</w:t>
            </w:r>
            <w:r>
              <w:rPr>
                <w:rFonts w:hint="eastAsia" w:ascii="宋体" w:hAnsi="宋体" w:eastAsia="宋体"/>
                <w:szCs w:val="21"/>
              </w:rPr>
              <w:t>8</w:t>
            </w:r>
            <w:r>
              <w:rPr>
                <w:rFonts w:ascii="宋体" w:hAnsi="宋体" w:eastAsia="宋体"/>
                <w:szCs w:val="21"/>
              </w:rPr>
              <w:t>.00;中=</w:t>
            </w:r>
            <w:r>
              <w:rPr>
                <w:rFonts w:hint="eastAsia" w:ascii="宋体" w:hAnsi="宋体" w:eastAsia="宋体"/>
                <w:szCs w:val="21"/>
              </w:rPr>
              <w:t>6</w:t>
            </w:r>
            <w:r>
              <w:rPr>
                <w:rFonts w:ascii="宋体" w:hAnsi="宋体" w:eastAsia="宋体"/>
                <w:szCs w:val="21"/>
              </w:rPr>
              <w:t>.00;差=</w:t>
            </w:r>
            <w:r>
              <w:rPr>
                <w:rFonts w:hint="eastAsia" w:ascii="宋体" w:hAnsi="宋体" w:eastAsia="宋体"/>
                <w:szCs w:val="21"/>
              </w:rPr>
              <w:t>4</w:t>
            </w:r>
            <w:r>
              <w:rPr>
                <w:rFonts w:ascii="宋体" w:hAnsi="宋体" w:eastAsia="宋体"/>
                <w:szCs w:val="21"/>
              </w:rPr>
              <w:t>.00;无=0)</w:t>
            </w:r>
          </w:p>
        </w:tc>
        <w:tc>
          <w:tcPr>
            <w:tcW w:w="992" w:type="dxa"/>
            <w:vMerge w:val="continue"/>
            <w:vAlign w:val="center"/>
          </w:tcPr>
          <w:p w14:paraId="6DDCC74A">
            <w:pPr>
              <w:snapToGrid w:val="0"/>
              <w:spacing w:line="360" w:lineRule="auto"/>
              <w:jc w:val="center"/>
              <w:rPr>
                <w:rFonts w:hint="eastAsia" w:ascii="宋体" w:hAnsi="宋体" w:eastAsia="宋体"/>
                <w:b/>
                <w:szCs w:val="21"/>
              </w:rPr>
            </w:pPr>
          </w:p>
        </w:tc>
      </w:tr>
      <w:tr w14:paraId="701C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5" w:type="dxa"/>
            <w:vMerge w:val="continue"/>
            <w:vAlign w:val="center"/>
          </w:tcPr>
          <w:p w14:paraId="6EE85D24">
            <w:pPr>
              <w:spacing w:line="360" w:lineRule="auto"/>
              <w:jc w:val="center"/>
              <w:rPr>
                <w:rFonts w:hint="eastAsia" w:ascii="宋体" w:hAnsi="宋体" w:eastAsia="宋体"/>
                <w:b/>
                <w:szCs w:val="21"/>
              </w:rPr>
            </w:pPr>
          </w:p>
        </w:tc>
        <w:tc>
          <w:tcPr>
            <w:tcW w:w="1177" w:type="dxa"/>
            <w:vMerge w:val="continue"/>
            <w:vAlign w:val="center"/>
          </w:tcPr>
          <w:p w14:paraId="634A0F09">
            <w:pPr>
              <w:spacing w:line="360" w:lineRule="auto"/>
              <w:jc w:val="center"/>
              <w:rPr>
                <w:rFonts w:hint="eastAsia" w:ascii="宋体" w:hAnsi="宋体" w:eastAsia="宋体"/>
                <w:b/>
                <w:szCs w:val="21"/>
              </w:rPr>
            </w:pPr>
          </w:p>
        </w:tc>
        <w:tc>
          <w:tcPr>
            <w:tcW w:w="1374" w:type="dxa"/>
          </w:tcPr>
          <w:p w14:paraId="0D33F827">
            <w:pPr>
              <w:spacing w:line="360" w:lineRule="auto"/>
              <w:jc w:val="left"/>
              <w:rPr>
                <w:rFonts w:hint="eastAsia" w:ascii="宋体" w:hAnsi="宋体" w:eastAsia="宋体"/>
                <w:szCs w:val="21"/>
              </w:rPr>
            </w:pPr>
          </w:p>
          <w:p w14:paraId="2B2FA7E9">
            <w:pPr>
              <w:snapToGrid w:val="0"/>
              <w:spacing w:line="360" w:lineRule="auto"/>
              <w:jc w:val="left"/>
              <w:rPr>
                <w:rFonts w:hint="eastAsia" w:ascii="宋体" w:hAnsi="宋体" w:eastAsia="宋体"/>
                <w:szCs w:val="21"/>
              </w:rPr>
            </w:pPr>
            <w:r>
              <w:rPr>
                <w:rFonts w:ascii="宋体" w:hAnsi="宋体" w:eastAsia="宋体"/>
                <w:szCs w:val="21"/>
              </w:rPr>
              <w:t>进度计划(0~4.00)</w:t>
            </w:r>
          </w:p>
        </w:tc>
        <w:tc>
          <w:tcPr>
            <w:tcW w:w="4438" w:type="dxa"/>
          </w:tcPr>
          <w:p w14:paraId="771EAEF4">
            <w:pPr>
              <w:pStyle w:val="557"/>
              <w:spacing w:before="121" w:line="360" w:lineRule="auto"/>
              <w:ind w:left="102" w:right="144" w:firstLine="1"/>
              <w:rPr>
                <w:rFonts w:hint="eastAsia" w:cstheme="minorBidi"/>
                <w:snapToGrid/>
                <w:color w:val="auto"/>
                <w:kern w:val="2"/>
                <w:lang w:eastAsia="zh-CN"/>
              </w:rPr>
            </w:pPr>
            <w:r>
              <w:rPr>
                <w:rFonts w:cstheme="minorBidi"/>
                <w:snapToGrid/>
                <w:color w:val="auto"/>
                <w:kern w:val="2"/>
                <w:lang w:eastAsia="zh-CN"/>
              </w:rPr>
              <w:t>承诺的设计工期满足招标文件要求，总体进度计划和各阶段进度计划是否合理可行、保证措施是否可靠，对可能出现的进度偏差是否有监控及应对措施等。</w:t>
            </w:r>
          </w:p>
          <w:p w14:paraId="5E494EBD">
            <w:pPr>
              <w:snapToGrid w:val="0"/>
              <w:spacing w:line="360" w:lineRule="auto"/>
              <w:jc w:val="left"/>
              <w:rPr>
                <w:rFonts w:hint="eastAsia" w:ascii="宋体" w:hAnsi="宋体" w:eastAsia="宋体"/>
                <w:szCs w:val="21"/>
              </w:rPr>
            </w:pPr>
            <w:r>
              <w:rPr>
                <w:rFonts w:ascii="宋体" w:hAnsi="宋体" w:eastAsia="宋体"/>
                <w:szCs w:val="21"/>
              </w:rPr>
              <w:t>(优=4.00;良=3.</w:t>
            </w:r>
            <w:r>
              <w:rPr>
                <w:rFonts w:hint="eastAsia" w:ascii="宋体" w:hAnsi="宋体" w:eastAsia="宋体"/>
                <w:szCs w:val="21"/>
              </w:rPr>
              <w:t>00</w:t>
            </w:r>
            <w:r>
              <w:rPr>
                <w:rFonts w:ascii="宋体" w:hAnsi="宋体" w:eastAsia="宋体"/>
                <w:szCs w:val="21"/>
              </w:rPr>
              <w:t>中=</w:t>
            </w:r>
            <w:r>
              <w:rPr>
                <w:rFonts w:hint="eastAsia" w:ascii="宋体" w:hAnsi="宋体" w:eastAsia="宋体"/>
                <w:szCs w:val="21"/>
              </w:rPr>
              <w:t>2</w:t>
            </w:r>
            <w:r>
              <w:rPr>
                <w:rFonts w:ascii="宋体" w:hAnsi="宋体" w:eastAsia="宋体"/>
                <w:szCs w:val="21"/>
              </w:rPr>
              <w:t>.</w:t>
            </w:r>
            <w:r>
              <w:rPr>
                <w:rFonts w:hint="eastAsia" w:ascii="宋体" w:hAnsi="宋体" w:eastAsia="宋体"/>
                <w:szCs w:val="21"/>
              </w:rPr>
              <w:t>00</w:t>
            </w:r>
            <w:r>
              <w:rPr>
                <w:rFonts w:ascii="宋体" w:hAnsi="宋体" w:eastAsia="宋体"/>
                <w:szCs w:val="21"/>
              </w:rPr>
              <w:t>;差=</w:t>
            </w:r>
            <w:r>
              <w:rPr>
                <w:rFonts w:hint="eastAsia" w:ascii="宋体" w:hAnsi="宋体" w:eastAsia="宋体"/>
                <w:szCs w:val="21"/>
              </w:rPr>
              <w:t>1</w:t>
            </w:r>
            <w:r>
              <w:rPr>
                <w:rFonts w:ascii="宋体" w:hAnsi="宋体" w:eastAsia="宋体"/>
                <w:szCs w:val="21"/>
              </w:rPr>
              <w:t>.</w:t>
            </w:r>
            <w:r>
              <w:rPr>
                <w:rFonts w:hint="eastAsia" w:ascii="宋体" w:hAnsi="宋体" w:eastAsia="宋体"/>
                <w:szCs w:val="21"/>
              </w:rPr>
              <w:t>00</w:t>
            </w:r>
            <w:r>
              <w:rPr>
                <w:rFonts w:ascii="宋体" w:hAnsi="宋体" w:eastAsia="宋体"/>
                <w:szCs w:val="21"/>
              </w:rPr>
              <w:t>;无=0)</w:t>
            </w:r>
          </w:p>
        </w:tc>
        <w:tc>
          <w:tcPr>
            <w:tcW w:w="992" w:type="dxa"/>
            <w:vMerge w:val="continue"/>
            <w:vAlign w:val="center"/>
          </w:tcPr>
          <w:p w14:paraId="3D5E923C">
            <w:pPr>
              <w:snapToGrid w:val="0"/>
              <w:spacing w:line="360" w:lineRule="auto"/>
              <w:jc w:val="center"/>
              <w:rPr>
                <w:rFonts w:hint="eastAsia" w:ascii="宋体" w:hAnsi="宋体" w:eastAsia="宋体"/>
                <w:b/>
                <w:szCs w:val="21"/>
              </w:rPr>
            </w:pPr>
          </w:p>
        </w:tc>
      </w:tr>
      <w:tr w14:paraId="5DE4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5" w:type="dxa"/>
            <w:vMerge w:val="continue"/>
            <w:vAlign w:val="center"/>
          </w:tcPr>
          <w:p w14:paraId="1B8191C7">
            <w:pPr>
              <w:spacing w:line="360" w:lineRule="auto"/>
              <w:jc w:val="center"/>
              <w:rPr>
                <w:rFonts w:hint="eastAsia" w:ascii="宋体" w:hAnsi="宋体" w:eastAsia="宋体"/>
                <w:b/>
                <w:szCs w:val="21"/>
              </w:rPr>
            </w:pPr>
          </w:p>
        </w:tc>
        <w:tc>
          <w:tcPr>
            <w:tcW w:w="1177" w:type="dxa"/>
            <w:vMerge w:val="continue"/>
            <w:vAlign w:val="center"/>
          </w:tcPr>
          <w:p w14:paraId="54C237B7">
            <w:pPr>
              <w:spacing w:line="360" w:lineRule="auto"/>
              <w:jc w:val="center"/>
              <w:rPr>
                <w:rFonts w:hint="eastAsia" w:ascii="宋体" w:hAnsi="宋体" w:eastAsia="宋体"/>
                <w:b/>
                <w:szCs w:val="21"/>
              </w:rPr>
            </w:pPr>
          </w:p>
        </w:tc>
        <w:tc>
          <w:tcPr>
            <w:tcW w:w="1374" w:type="dxa"/>
          </w:tcPr>
          <w:p w14:paraId="5526F4B8">
            <w:pPr>
              <w:spacing w:line="360" w:lineRule="auto"/>
              <w:jc w:val="left"/>
              <w:rPr>
                <w:rFonts w:hint="eastAsia" w:ascii="宋体" w:hAnsi="宋体" w:eastAsia="宋体"/>
                <w:szCs w:val="21"/>
              </w:rPr>
            </w:pPr>
          </w:p>
          <w:p w14:paraId="39E038B4">
            <w:pPr>
              <w:snapToGrid w:val="0"/>
              <w:spacing w:line="360" w:lineRule="auto"/>
              <w:jc w:val="left"/>
              <w:rPr>
                <w:rFonts w:hint="eastAsia" w:ascii="宋体" w:hAnsi="宋体" w:eastAsia="宋体"/>
                <w:szCs w:val="21"/>
              </w:rPr>
            </w:pPr>
            <w:r>
              <w:rPr>
                <w:rFonts w:ascii="宋体" w:hAnsi="宋体" w:eastAsia="宋体"/>
                <w:szCs w:val="21"/>
              </w:rPr>
              <w:t>后续服务(0~3.00)</w:t>
            </w:r>
          </w:p>
        </w:tc>
        <w:tc>
          <w:tcPr>
            <w:tcW w:w="4438" w:type="dxa"/>
          </w:tcPr>
          <w:p w14:paraId="21CEA44D">
            <w:pPr>
              <w:pStyle w:val="557"/>
              <w:spacing w:before="107" w:line="360" w:lineRule="auto"/>
              <w:ind w:left="102" w:right="144" w:firstLine="1"/>
              <w:rPr>
                <w:rFonts w:hint="eastAsia" w:cstheme="minorBidi"/>
                <w:snapToGrid/>
                <w:color w:val="auto"/>
                <w:kern w:val="2"/>
                <w:lang w:eastAsia="zh-CN"/>
              </w:rPr>
            </w:pPr>
            <w:r>
              <w:rPr>
                <w:rFonts w:cstheme="minorBidi"/>
                <w:snapToGrid/>
                <w:color w:val="auto"/>
                <w:kern w:val="2"/>
                <w:lang w:eastAsia="zh-CN"/>
              </w:rPr>
              <w:t>承诺后续服务满足招标人要求，后续期间的服务内容合理可行、保证措施可靠，对于后续期间可能出现的紧急情况有应对措施。</w:t>
            </w:r>
          </w:p>
          <w:p w14:paraId="69EC2755">
            <w:pPr>
              <w:snapToGrid w:val="0"/>
              <w:spacing w:line="360" w:lineRule="auto"/>
              <w:jc w:val="left"/>
              <w:rPr>
                <w:rFonts w:hint="eastAsia" w:ascii="宋体" w:hAnsi="宋体" w:eastAsia="宋体"/>
                <w:szCs w:val="21"/>
              </w:rPr>
            </w:pPr>
            <w:r>
              <w:rPr>
                <w:rFonts w:ascii="宋体" w:hAnsi="宋体" w:eastAsia="宋体"/>
                <w:szCs w:val="21"/>
              </w:rPr>
              <w:t>(优=3.00;良=2.</w:t>
            </w:r>
            <w:r>
              <w:rPr>
                <w:rFonts w:hint="eastAsia" w:ascii="宋体" w:hAnsi="宋体" w:eastAsia="宋体"/>
                <w:szCs w:val="21"/>
              </w:rPr>
              <w:t>5</w:t>
            </w:r>
            <w:r>
              <w:rPr>
                <w:rFonts w:ascii="宋体" w:hAnsi="宋体" w:eastAsia="宋体"/>
                <w:szCs w:val="21"/>
              </w:rPr>
              <w:t>0;中=2.</w:t>
            </w:r>
            <w:r>
              <w:rPr>
                <w:rFonts w:hint="eastAsia" w:ascii="宋体" w:hAnsi="宋体" w:eastAsia="宋体"/>
                <w:szCs w:val="21"/>
              </w:rPr>
              <w:t>00</w:t>
            </w:r>
            <w:r>
              <w:rPr>
                <w:rFonts w:ascii="宋体" w:hAnsi="宋体" w:eastAsia="宋体"/>
                <w:szCs w:val="21"/>
              </w:rPr>
              <w:t>;差=</w:t>
            </w:r>
            <w:r>
              <w:rPr>
                <w:rFonts w:hint="eastAsia" w:ascii="宋体" w:hAnsi="宋体" w:eastAsia="宋体"/>
                <w:szCs w:val="21"/>
              </w:rPr>
              <w:t>1.00</w:t>
            </w:r>
            <w:r>
              <w:rPr>
                <w:rFonts w:ascii="宋体" w:hAnsi="宋体" w:eastAsia="宋体"/>
                <w:szCs w:val="21"/>
              </w:rPr>
              <w:t>;无=0)</w:t>
            </w:r>
          </w:p>
        </w:tc>
        <w:tc>
          <w:tcPr>
            <w:tcW w:w="992" w:type="dxa"/>
            <w:vMerge w:val="continue"/>
            <w:vAlign w:val="center"/>
          </w:tcPr>
          <w:p w14:paraId="23ADCED5">
            <w:pPr>
              <w:snapToGrid w:val="0"/>
              <w:spacing w:line="360" w:lineRule="auto"/>
              <w:jc w:val="center"/>
              <w:rPr>
                <w:rFonts w:hint="eastAsia" w:ascii="宋体" w:hAnsi="宋体" w:eastAsia="宋体"/>
                <w:b/>
                <w:szCs w:val="21"/>
              </w:rPr>
            </w:pPr>
          </w:p>
        </w:tc>
      </w:tr>
      <w:tr w14:paraId="43BC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5" w:type="dxa"/>
            <w:vMerge w:val="continue"/>
            <w:vAlign w:val="center"/>
          </w:tcPr>
          <w:p w14:paraId="2CCAE886">
            <w:pPr>
              <w:spacing w:line="360" w:lineRule="auto"/>
              <w:jc w:val="center"/>
              <w:rPr>
                <w:rFonts w:hint="eastAsia" w:ascii="宋体" w:hAnsi="宋体" w:eastAsia="宋体"/>
                <w:b/>
                <w:szCs w:val="21"/>
              </w:rPr>
            </w:pPr>
          </w:p>
        </w:tc>
        <w:tc>
          <w:tcPr>
            <w:tcW w:w="1177" w:type="dxa"/>
            <w:vMerge w:val="continue"/>
            <w:vAlign w:val="center"/>
          </w:tcPr>
          <w:p w14:paraId="7F471B51">
            <w:pPr>
              <w:spacing w:line="360" w:lineRule="auto"/>
              <w:jc w:val="center"/>
              <w:rPr>
                <w:rFonts w:hint="eastAsia" w:ascii="宋体" w:hAnsi="宋体" w:eastAsia="宋体"/>
                <w:b/>
                <w:szCs w:val="21"/>
              </w:rPr>
            </w:pPr>
          </w:p>
        </w:tc>
        <w:tc>
          <w:tcPr>
            <w:tcW w:w="1374" w:type="dxa"/>
          </w:tcPr>
          <w:p w14:paraId="65EFECEE">
            <w:pPr>
              <w:spacing w:line="360" w:lineRule="auto"/>
              <w:jc w:val="left"/>
              <w:rPr>
                <w:rFonts w:hint="eastAsia" w:ascii="宋体" w:hAnsi="宋体" w:eastAsia="宋体"/>
                <w:szCs w:val="21"/>
              </w:rPr>
            </w:pPr>
            <w:r>
              <w:rPr>
                <w:rFonts w:ascii="宋体" w:hAnsi="宋体" w:eastAsia="宋体"/>
                <w:szCs w:val="21"/>
              </w:rPr>
              <w:t>合理化建议(0~3.00)</w:t>
            </w:r>
          </w:p>
        </w:tc>
        <w:tc>
          <w:tcPr>
            <w:tcW w:w="4438" w:type="dxa"/>
          </w:tcPr>
          <w:p w14:paraId="5DB472BD">
            <w:pPr>
              <w:pStyle w:val="557"/>
              <w:snapToGrid/>
              <w:spacing w:before="109" w:line="211" w:lineRule="auto"/>
              <w:ind w:left="105" w:right="144" w:hanging="3"/>
              <w:rPr>
                <w:rFonts w:hint="eastAsia" w:cstheme="minorBidi"/>
                <w:snapToGrid/>
                <w:color w:val="auto"/>
                <w:kern w:val="2"/>
                <w:lang w:eastAsia="zh-CN"/>
              </w:rPr>
            </w:pPr>
            <w:r>
              <w:rPr>
                <w:rFonts w:cstheme="minorBidi"/>
                <w:snapToGrid/>
                <w:color w:val="auto"/>
                <w:kern w:val="2"/>
                <w:lang w:eastAsia="zh-CN"/>
              </w:rPr>
              <w:t>提出了合理化建议，且合理化建议符合项目实际情况，具有科学性、可行性。</w:t>
            </w:r>
          </w:p>
          <w:p w14:paraId="40616610">
            <w:pPr>
              <w:spacing w:line="360" w:lineRule="auto"/>
              <w:jc w:val="left"/>
              <w:rPr>
                <w:rFonts w:hint="eastAsia" w:ascii="宋体" w:hAnsi="宋体" w:eastAsia="宋体"/>
                <w:szCs w:val="21"/>
              </w:rPr>
            </w:pPr>
            <w:r>
              <w:rPr>
                <w:rFonts w:ascii="宋体" w:hAnsi="宋体" w:eastAsia="宋体"/>
                <w:szCs w:val="21"/>
              </w:rPr>
              <w:t>(优=3.00;良=2.</w:t>
            </w:r>
            <w:r>
              <w:rPr>
                <w:rFonts w:hint="eastAsia" w:ascii="宋体" w:hAnsi="宋体" w:eastAsia="宋体"/>
                <w:szCs w:val="21"/>
              </w:rPr>
              <w:t>5</w:t>
            </w:r>
            <w:r>
              <w:rPr>
                <w:rFonts w:ascii="宋体" w:hAnsi="宋体" w:eastAsia="宋体"/>
                <w:szCs w:val="21"/>
              </w:rPr>
              <w:t>0;中=2.</w:t>
            </w:r>
            <w:r>
              <w:rPr>
                <w:rFonts w:hint="eastAsia" w:ascii="宋体" w:hAnsi="宋体" w:eastAsia="宋体"/>
                <w:szCs w:val="21"/>
              </w:rPr>
              <w:t>00</w:t>
            </w:r>
            <w:r>
              <w:rPr>
                <w:rFonts w:ascii="宋体" w:hAnsi="宋体" w:eastAsia="宋体"/>
                <w:szCs w:val="21"/>
              </w:rPr>
              <w:t>;差=</w:t>
            </w:r>
            <w:r>
              <w:rPr>
                <w:rFonts w:hint="eastAsia" w:ascii="宋体" w:hAnsi="宋体" w:eastAsia="宋体"/>
                <w:szCs w:val="21"/>
              </w:rPr>
              <w:t>1.00</w:t>
            </w:r>
            <w:r>
              <w:rPr>
                <w:rFonts w:ascii="宋体" w:hAnsi="宋体" w:eastAsia="宋体"/>
                <w:szCs w:val="21"/>
              </w:rPr>
              <w:t>;无=0)</w:t>
            </w:r>
          </w:p>
        </w:tc>
        <w:tc>
          <w:tcPr>
            <w:tcW w:w="992" w:type="dxa"/>
            <w:vMerge w:val="continue"/>
            <w:vAlign w:val="center"/>
          </w:tcPr>
          <w:p w14:paraId="73955A76">
            <w:pPr>
              <w:snapToGrid w:val="0"/>
              <w:spacing w:line="360" w:lineRule="auto"/>
              <w:jc w:val="center"/>
              <w:rPr>
                <w:rFonts w:hint="eastAsia" w:ascii="宋体" w:hAnsi="宋体" w:eastAsia="宋体"/>
                <w:b/>
                <w:szCs w:val="21"/>
              </w:rPr>
            </w:pPr>
          </w:p>
        </w:tc>
      </w:tr>
      <w:tr w14:paraId="7AC1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154EA630">
            <w:pPr>
              <w:widowControl/>
              <w:spacing w:line="360" w:lineRule="auto"/>
              <w:ind w:right="-24"/>
              <w:jc w:val="center"/>
              <w:rPr>
                <w:rFonts w:hint="eastAsia" w:ascii="宋体" w:hAnsi="宋体" w:eastAsia="宋体"/>
                <w:b/>
                <w:szCs w:val="21"/>
              </w:rPr>
            </w:pPr>
            <w:r>
              <w:rPr>
                <w:rFonts w:hint="eastAsia" w:ascii="宋体" w:hAnsi="宋体" w:eastAsia="宋体"/>
                <w:b/>
                <w:szCs w:val="21"/>
              </w:rPr>
              <w:t>3.1</w:t>
            </w:r>
          </w:p>
        </w:tc>
        <w:tc>
          <w:tcPr>
            <w:tcW w:w="1177" w:type="dxa"/>
            <w:vAlign w:val="center"/>
          </w:tcPr>
          <w:p w14:paraId="054A3F5B">
            <w:pPr>
              <w:spacing w:line="360" w:lineRule="auto"/>
              <w:jc w:val="center"/>
              <w:rPr>
                <w:rFonts w:hint="eastAsia" w:ascii="宋体" w:hAnsi="宋体" w:eastAsia="宋体"/>
                <w:b/>
                <w:szCs w:val="21"/>
              </w:rPr>
            </w:pPr>
            <w:r>
              <w:rPr>
                <w:rFonts w:hint="eastAsia" w:ascii="宋体" w:hAnsi="宋体" w:eastAsia="宋体"/>
                <w:b/>
                <w:szCs w:val="21"/>
              </w:rPr>
              <w:t>企业实力</w:t>
            </w:r>
          </w:p>
        </w:tc>
        <w:tc>
          <w:tcPr>
            <w:tcW w:w="5812" w:type="dxa"/>
            <w:gridSpan w:val="2"/>
            <w:vAlign w:val="center"/>
          </w:tcPr>
          <w:p w14:paraId="5E6979B9">
            <w:pPr>
              <w:widowControl/>
              <w:snapToGrid w:val="0"/>
              <w:spacing w:line="360" w:lineRule="auto"/>
              <w:rPr>
                <w:rFonts w:hint="eastAsia" w:ascii="宋体" w:hAnsi="宋体" w:eastAsia="宋体"/>
                <w:szCs w:val="21"/>
              </w:rPr>
            </w:pPr>
            <w:r>
              <w:rPr>
                <w:rFonts w:hint="eastAsia" w:ascii="宋体" w:hAnsi="宋体" w:eastAsia="宋体"/>
                <w:szCs w:val="21"/>
              </w:rPr>
              <w:t>供应商同时具有有效期内的质量管理体系、环境管理体系认证证书，每提供一个得2分，最高得4分。</w:t>
            </w:r>
          </w:p>
          <w:p w14:paraId="0C6D3737">
            <w:pPr>
              <w:widowControl/>
              <w:snapToGrid w:val="0"/>
              <w:spacing w:line="360" w:lineRule="auto"/>
              <w:rPr>
                <w:rFonts w:hint="eastAsia" w:ascii="宋体" w:hAnsi="宋体" w:eastAsia="宋体"/>
                <w:szCs w:val="21"/>
              </w:rPr>
            </w:pPr>
            <w:r>
              <w:rPr>
                <w:rFonts w:hint="eastAsia" w:ascii="宋体" w:hAnsi="宋体" w:eastAsia="宋体"/>
                <w:szCs w:val="21"/>
              </w:rPr>
              <w:t>注：须提供相关证书复印件并加盖供应商公章，不提供不得分。</w:t>
            </w:r>
          </w:p>
        </w:tc>
        <w:tc>
          <w:tcPr>
            <w:tcW w:w="992" w:type="dxa"/>
            <w:vAlign w:val="center"/>
          </w:tcPr>
          <w:p w14:paraId="54EBF273">
            <w:pPr>
              <w:snapToGrid w:val="0"/>
              <w:spacing w:line="360" w:lineRule="auto"/>
              <w:jc w:val="center"/>
              <w:rPr>
                <w:rFonts w:hint="eastAsia" w:ascii="宋体" w:hAnsi="宋体" w:eastAsia="宋体"/>
                <w:b/>
                <w:szCs w:val="21"/>
              </w:rPr>
            </w:pPr>
            <w:r>
              <w:rPr>
                <w:rFonts w:hint="eastAsia" w:ascii="宋体" w:hAnsi="宋体" w:eastAsia="宋体"/>
                <w:b/>
                <w:szCs w:val="21"/>
              </w:rPr>
              <w:t>4</w:t>
            </w:r>
          </w:p>
        </w:tc>
      </w:tr>
      <w:tr w14:paraId="553A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23E7AD5C">
            <w:pPr>
              <w:widowControl/>
              <w:spacing w:line="360" w:lineRule="auto"/>
              <w:ind w:right="-24"/>
              <w:jc w:val="center"/>
              <w:rPr>
                <w:rFonts w:hint="eastAsia" w:ascii="宋体" w:hAnsi="宋体" w:eastAsia="宋体"/>
                <w:b/>
                <w:szCs w:val="21"/>
              </w:rPr>
            </w:pPr>
            <w:r>
              <w:rPr>
                <w:rFonts w:hint="eastAsia" w:ascii="宋体" w:hAnsi="宋体" w:eastAsia="宋体"/>
                <w:b/>
                <w:szCs w:val="21"/>
              </w:rPr>
              <w:t>3.2</w:t>
            </w:r>
          </w:p>
        </w:tc>
        <w:tc>
          <w:tcPr>
            <w:tcW w:w="1177" w:type="dxa"/>
            <w:vAlign w:val="center"/>
          </w:tcPr>
          <w:p w14:paraId="01544A18">
            <w:pPr>
              <w:spacing w:line="360" w:lineRule="auto"/>
              <w:jc w:val="center"/>
              <w:rPr>
                <w:rFonts w:hint="eastAsia" w:ascii="宋体" w:hAnsi="宋体" w:eastAsia="宋体"/>
                <w:b/>
                <w:szCs w:val="21"/>
              </w:rPr>
            </w:pPr>
            <w:r>
              <w:rPr>
                <w:rFonts w:hint="eastAsia" w:ascii="宋体" w:hAnsi="宋体" w:eastAsia="宋体"/>
                <w:b/>
                <w:szCs w:val="21"/>
              </w:rPr>
              <w:t>业绩</w:t>
            </w:r>
          </w:p>
        </w:tc>
        <w:tc>
          <w:tcPr>
            <w:tcW w:w="5812" w:type="dxa"/>
            <w:gridSpan w:val="2"/>
            <w:vAlign w:val="center"/>
          </w:tcPr>
          <w:p w14:paraId="0FF17C3E">
            <w:pPr>
              <w:widowControl/>
              <w:snapToGrid w:val="0"/>
              <w:spacing w:line="360" w:lineRule="auto"/>
              <w:rPr>
                <w:rFonts w:hint="eastAsia" w:ascii="宋体" w:hAnsi="宋体" w:eastAsia="宋体"/>
                <w:szCs w:val="21"/>
              </w:rPr>
            </w:pPr>
            <w:r>
              <w:rPr>
                <w:rFonts w:hint="eastAsia" w:ascii="宋体" w:hAnsi="宋体" w:eastAsia="宋体"/>
                <w:szCs w:val="21"/>
              </w:rPr>
              <w:t>投标人自2022年1月1日（含）以来，企业承担过单项合同类似本项目的公共建筑（不包括住宅及厂房）设计业绩，每提供一个得4分，最高得16分。</w:t>
            </w:r>
          </w:p>
          <w:p w14:paraId="19AB3B29">
            <w:pPr>
              <w:widowControl/>
              <w:snapToGrid w:val="0"/>
              <w:spacing w:line="360" w:lineRule="auto"/>
              <w:rPr>
                <w:rFonts w:hint="eastAsia" w:ascii="宋体" w:hAnsi="宋体" w:eastAsia="宋体"/>
                <w:szCs w:val="21"/>
              </w:rPr>
            </w:pPr>
            <w:r>
              <w:rPr>
                <w:rFonts w:hint="eastAsia" w:ascii="宋体" w:hAnsi="宋体" w:eastAsia="宋体"/>
                <w:szCs w:val="21"/>
              </w:rPr>
              <w:t>（业绩需提供合同等证明材料，合同类型包括咨询设计合同、设计合同、设计施工合同或总包类合同等，对设计施工合同或总包类合同等需在合同中体现其中设计部分的业绩。业绩时间以合同签订时间为准，如提供的合同未能完整反映以上数据和内容，需提供其他有效证明材料，并经专家一致认可后视为有效，否则视为未提供）</w:t>
            </w:r>
          </w:p>
        </w:tc>
        <w:tc>
          <w:tcPr>
            <w:tcW w:w="992" w:type="dxa"/>
            <w:vAlign w:val="center"/>
          </w:tcPr>
          <w:p w14:paraId="59094F76">
            <w:pPr>
              <w:snapToGrid w:val="0"/>
              <w:spacing w:line="360" w:lineRule="auto"/>
              <w:jc w:val="center"/>
              <w:rPr>
                <w:rFonts w:hint="eastAsia" w:ascii="宋体" w:hAnsi="宋体" w:eastAsia="宋体"/>
                <w:b/>
                <w:szCs w:val="21"/>
              </w:rPr>
            </w:pPr>
            <w:r>
              <w:rPr>
                <w:rFonts w:hint="eastAsia" w:ascii="宋体" w:hAnsi="宋体" w:eastAsia="宋体"/>
                <w:b/>
                <w:szCs w:val="21"/>
              </w:rPr>
              <w:t>16</w:t>
            </w:r>
          </w:p>
        </w:tc>
      </w:tr>
      <w:tr w14:paraId="477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5F45CB50">
            <w:pPr>
              <w:widowControl/>
              <w:spacing w:line="360" w:lineRule="auto"/>
              <w:ind w:right="-24"/>
              <w:jc w:val="center"/>
              <w:rPr>
                <w:rFonts w:hint="eastAsia" w:ascii="宋体" w:hAnsi="宋体" w:eastAsia="宋体"/>
                <w:b/>
                <w:szCs w:val="21"/>
              </w:rPr>
            </w:pPr>
            <w:r>
              <w:rPr>
                <w:rFonts w:hint="eastAsia" w:ascii="宋体" w:hAnsi="宋体" w:eastAsia="宋体"/>
                <w:b/>
                <w:szCs w:val="21"/>
              </w:rPr>
              <w:t>3.3</w:t>
            </w:r>
          </w:p>
        </w:tc>
        <w:tc>
          <w:tcPr>
            <w:tcW w:w="1177" w:type="dxa"/>
            <w:vAlign w:val="center"/>
          </w:tcPr>
          <w:p w14:paraId="1395AF01">
            <w:pPr>
              <w:spacing w:line="360" w:lineRule="auto"/>
              <w:jc w:val="center"/>
              <w:rPr>
                <w:rFonts w:hint="eastAsia" w:ascii="宋体" w:hAnsi="宋体" w:eastAsia="宋体"/>
                <w:b/>
                <w:szCs w:val="21"/>
              </w:rPr>
            </w:pPr>
            <w:r>
              <w:rPr>
                <w:rFonts w:hint="eastAsia" w:ascii="宋体" w:hAnsi="宋体" w:eastAsia="宋体"/>
                <w:b/>
                <w:szCs w:val="21"/>
              </w:rPr>
              <w:t>项目人员配置</w:t>
            </w:r>
          </w:p>
        </w:tc>
        <w:tc>
          <w:tcPr>
            <w:tcW w:w="5812" w:type="dxa"/>
            <w:gridSpan w:val="2"/>
            <w:vAlign w:val="center"/>
          </w:tcPr>
          <w:p w14:paraId="63296B27">
            <w:pPr>
              <w:widowControl/>
              <w:snapToGrid w:val="0"/>
              <w:spacing w:line="360" w:lineRule="auto"/>
              <w:rPr>
                <w:rFonts w:hint="eastAsia" w:ascii="宋体" w:hAnsi="宋体" w:eastAsia="宋体"/>
                <w:szCs w:val="21"/>
              </w:rPr>
            </w:pPr>
            <w:r>
              <w:rPr>
                <w:rFonts w:hint="eastAsia" w:ascii="宋体" w:hAnsi="宋体" w:eastAsia="宋体"/>
                <w:szCs w:val="21"/>
              </w:rPr>
              <w:t>1.</w:t>
            </w:r>
            <w:r>
              <w:rPr>
                <w:rFonts w:hint="eastAsia"/>
              </w:rPr>
              <w:t xml:space="preserve"> </w:t>
            </w:r>
            <w:r>
              <w:rPr>
                <w:rFonts w:hint="eastAsia" w:ascii="宋体" w:hAnsi="宋体" w:eastAsia="宋体"/>
                <w:szCs w:val="21"/>
              </w:rPr>
              <w:t>本项目拟投入项目负责人具备注册土木工程师（道路工程）执业资格执业资格证书的得1分；具有高级工程师及以上职称加1分，满分2分。</w:t>
            </w:r>
          </w:p>
          <w:p w14:paraId="06722DD5">
            <w:pPr>
              <w:widowControl/>
              <w:snapToGrid w:val="0"/>
              <w:spacing w:line="360" w:lineRule="auto"/>
              <w:rPr>
                <w:rFonts w:hint="eastAsia" w:ascii="宋体" w:hAnsi="宋体" w:eastAsia="宋体"/>
                <w:szCs w:val="21"/>
              </w:rPr>
            </w:pPr>
            <w:r>
              <w:rPr>
                <w:rFonts w:hint="eastAsia" w:ascii="宋体" w:hAnsi="宋体" w:eastAsia="宋体"/>
                <w:szCs w:val="21"/>
              </w:rPr>
              <w:t>2.除项目负责人以外的项目组成员：</w:t>
            </w:r>
          </w:p>
          <w:p w14:paraId="08440118">
            <w:pPr>
              <w:widowControl/>
              <w:snapToGrid w:val="0"/>
              <w:spacing w:line="360" w:lineRule="auto"/>
              <w:rPr>
                <w:rFonts w:hint="eastAsia" w:ascii="宋体" w:hAnsi="宋体" w:eastAsia="宋体"/>
                <w:szCs w:val="21"/>
              </w:rPr>
            </w:pPr>
            <w:r>
              <w:rPr>
                <w:rFonts w:hint="eastAsia" w:ascii="宋体" w:hAnsi="宋体" w:eastAsia="宋体"/>
                <w:szCs w:val="21"/>
              </w:rPr>
              <w:t>（1）道路专业人员1名：具有国家注册土木工程师（道路工程）执业资格证书的得1分；具有中级工程师及以上职称加1分，满分2分。</w:t>
            </w:r>
          </w:p>
          <w:p w14:paraId="6554EC17">
            <w:pPr>
              <w:widowControl/>
              <w:snapToGrid w:val="0"/>
              <w:spacing w:line="360" w:lineRule="auto"/>
              <w:rPr>
                <w:rFonts w:hint="eastAsia" w:ascii="宋体" w:hAnsi="宋体" w:eastAsia="宋体"/>
                <w:szCs w:val="21"/>
              </w:rPr>
            </w:pPr>
            <w:r>
              <w:rPr>
                <w:rFonts w:hint="eastAsia" w:ascii="宋体" w:hAnsi="宋体" w:eastAsia="宋体"/>
                <w:szCs w:val="21"/>
              </w:rPr>
              <w:t>（2）电气专业人员1名：具有国家注册电气工程师（供配电）执业资格证书的得1分；具有中级工程师及以上职称加1分，满分2分。</w:t>
            </w:r>
          </w:p>
          <w:p w14:paraId="36300246">
            <w:pPr>
              <w:widowControl/>
              <w:snapToGrid w:val="0"/>
              <w:spacing w:line="360" w:lineRule="auto"/>
              <w:rPr>
                <w:rFonts w:hint="eastAsia" w:ascii="宋体" w:hAnsi="宋体" w:eastAsia="宋体"/>
                <w:szCs w:val="21"/>
              </w:rPr>
            </w:pPr>
            <w:r>
              <w:rPr>
                <w:rFonts w:hint="eastAsia" w:ascii="宋体" w:hAnsi="宋体" w:eastAsia="宋体"/>
                <w:szCs w:val="21"/>
              </w:rPr>
              <w:t>（3）造价人员1名：具有国家注册一级造价工程师（旧版为注册造价工程师）的得1分，具有中级工程师及以上职称加1分，满分2分。</w:t>
            </w:r>
          </w:p>
          <w:p w14:paraId="5EFEC3CC">
            <w:pPr>
              <w:widowControl/>
              <w:snapToGrid w:val="0"/>
              <w:spacing w:line="360" w:lineRule="auto"/>
              <w:rPr>
                <w:rFonts w:hint="eastAsia" w:ascii="宋体" w:hAnsi="宋体" w:eastAsia="宋体"/>
                <w:szCs w:val="21"/>
              </w:rPr>
            </w:pPr>
            <w:r>
              <w:rPr>
                <w:rFonts w:hint="eastAsia" w:ascii="宋体" w:hAnsi="宋体" w:eastAsia="宋体"/>
                <w:szCs w:val="21"/>
              </w:rPr>
              <w:t>（4）建筑专业人员1名：具有国家一级注册建筑师执业资格证书得1分，具有中级工程师及以上职称加1分，满分2分。</w:t>
            </w:r>
          </w:p>
          <w:p w14:paraId="70678543">
            <w:pPr>
              <w:widowControl/>
              <w:snapToGrid w:val="0"/>
              <w:spacing w:line="360" w:lineRule="auto"/>
              <w:rPr>
                <w:rFonts w:hint="eastAsia" w:ascii="宋体" w:hAnsi="宋体" w:eastAsia="宋体"/>
                <w:szCs w:val="21"/>
              </w:rPr>
            </w:pPr>
            <w:r>
              <w:rPr>
                <w:rFonts w:hint="eastAsia" w:ascii="宋体" w:hAnsi="宋体" w:eastAsia="宋体"/>
                <w:szCs w:val="21"/>
              </w:rPr>
              <w:t>（提供人员有效证书复印件，同一人员持有多个证书的，只记一次分。相关专业以注册证书上的专业为准，同时提供企业为其缴纳的养老保险金缴费证明材料（2025年5月以来任意一个月）并加盖社保中心章或社保中心参保缴费证明电子专用章，不按要求或没有提供的不得分）</w:t>
            </w:r>
          </w:p>
        </w:tc>
        <w:tc>
          <w:tcPr>
            <w:tcW w:w="992" w:type="dxa"/>
            <w:vAlign w:val="center"/>
          </w:tcPr>
          <w:p w14:paraId="4E705B9E">
            <w:pPr>
              <w:snapToGrid w:val="0"/>
              <w:spacing w:line="360" w:lineRule="auto"/>
              <w:jc w:val="center"/>
              <w:rPr>
                <w:rFonts w:hint="eastAsia" w:ascii="宋体" w:hAnsi="宋体" w:eastAsia="宋体"/>
                <w:b/>
                <w:szCs w:val="21"/>
              </w:rPr>
            </w:pPr>
            <w:r>
              <w:rPr>
                <w:rFonts w:hint="eastAsia" w:ascii="宋体" w:hAnsi="宋体" w:eastAsia="宋体"/>
                <w:b/>
                <w:szCs w:val="21"/>
              </w:rPr>
              <w:t>10</w:t>
            </w:r>
          </w:p>
        </w:tc>
      </w:tr>
      <w:tr w14:paraId="6AD3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Align w:val="center"/>
          </w:tcPr>
          <w:p w14:paraId="38AC7F36">
            <w:pPr>
              <w:widowControl/>
              <w:spacing w:line="360" w:lineRule="auto"/>
              <w:ind w:right="-24"/>
              <w:jc w:val="center"/>
              <w:rPr>
                <w:rFonts w:hint="eastAsia" w:ascii="宋体" w:hAnsi="宋体" w:eastAsia="宋体"/>
                <w:b/>
                <w:szCs w:val="21"/>
              </w:rPr>
            </w:pPr>
          </w:p>
        </w:tc>
        <w:tc>
          <w:tcPr>
            <w:tcW w:w="1177" w:type="dxa"/>
            <w:vAlign w:val="center"/>
          </w:tcPr>
          <w:p w14:paraId="4C98FB21">
            <w:pPr>
              <w:spacing w:line="360" w:lineRule="auto"/>
              <w:jc w:val="center"/>
              <w:rPr>
                <w:rFonts w:hint="eastAsia" w:ascii="宋体" w:hAnsi="宋体" w:eastAsia="宋体"/>
                <w:b/>
                <w:szCs w:val="21"/>
              </w:rPr>
            </w:pPr>
          </w:p>
        </w:tc>
        <w:tc>
          <w:tcPr>
            <w:tcW w:w="5812" w:type="dxa"/>
            <w:gridSpan w:val="2"/>
            <w:vAlign w:val="center"/>
          </w:tcPr>
          <w:p w14:paraId="23E709E4">
            <w:pPr>
              <w:widowControl/>
              <w:snapToGrid w:val="0"/>
              <w:spacing w:line="360" w:lineRule="auto"/>
              <w:rPr>
                <w:rFonts w:hint="eastAsia" w:ascii="宋体" w:hAnsi="宋体" w:eastAsia="宋体"/>
                <w:szCs w:val="21"/>
              </w:rPr>
            </w:pPr>
          </w:p>
        </w:tc>
        <w:tc>
          <w:tcPr>
            <w:tcW w:w="992" w:type="dxa"/>
            <w:vAlign w:val="center"/>
          </w:tcPr>
          <w:p w14:paraId="71732EB1">
            <w:pPr>
              <w:snapToGrid w:val="0"/>
              <w:spacing w:line="360" w:lineRule="auto"/>
              <w:jc w:val="center"/>
              <w:rPr>
                <w:rFonts w:hint="eastAsia" w:ascii="宋体" w:hAnsi="宋体" w:eastAsia="宋体"/>
                <w:b/>
                <w:szCs w:val="21"/>
              </w:rPr>
            </w:pPr>
            <w:r>
              <w:rPr>
                <w:rFonts w:hint="eastAsia" w:ascii="宋体" w:hAnsi="宋体" w:eastAsia="宋体"/>
                <w:b/>
                <w:szCs w:val="21"/>
              </w:rPr>
              <w:t>100</w:t>
            </w:r>
          </w:p>
        </w:tc>
      </w:tr>
    </w:tbl>
    <w:p w14:paraId="489C5048">
      <w:pPr>
        <w:spacing w:line="360" w:lineRule="auto"/>
        <w:rPr>
          <w:rFonts w:hint="eastAsia" w:ascii="宋体" w:hAnsi="宋体" w:eastAsia="宋体" w:cs="Times New Roman"/>
          <w:b/>
          <w:bCs/>
          <w:sz w:val="24"/>
          <w:szCs w:val="24"/>
        </w:rPr>
      </w:pPr>
    </w:p>
    <w:p w14:paraId="30307CE3">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8" w:name="_Toc48546591"/>
      <w:bookmarkStart w:id="9" w:name="_Toc179553570"/>
      <w:bookmarkStart w:id="10" w:name="_Toc65592703"/>
      <w:r>
        <w:rPr>
          <w:rFonts w:hint="eastAsia" w:ascii="宋体" w:hAnsi="宋体" w:eastAsia="宋体" w:cs="宋体"/>
          <w:b/>
          <w:bCs/>
          <w:kern w:val="0"/>
          <w:sz w:val="36"/>
          <w:szCs w:val="36"/>
        </w:rPr>
        <w:t xml:space="preserve">第四章 </w:t>
      </w:r>
      <w:bookmarkEnd w:id="8"/>
      <w:bookmarkEnd w:id="9"/>
      <w:bookmarkEnd w:id="10"/>
      <w:r>
        <w:rPr>
          <w:rFonts w:hint="eastAsia" w:ascii="宋体" w:hAnsi="宋体" w:eastAsia="宋体" w:cs="宋体"/>
          <w:b/>
          <w:bCs/>
          <w:kern w:val="0"/>
          <w:sz w:val="36"/>
          <w:szCs w:val="36"/>
        </w:rPr>
        <w:t>项目需求（设计任务书）</w:t>
      </w:r>
    </w:p>
    <w:p w14:paraId="5D7BBEA1">
      <w:pPr>
        <w:spacing w:line="360" w:lineRule="auto"/>
        <w:rPr>
          <w:rFonts w:hint="eastAsia" w:ascii="宋体" w:hAnsi="宋体" w:eastAsia="宋体"/>
          <w:b/>
          <w:bCs/>
          <w:sz w:val="24"/>
          <w:szCs w:val="24"/>
        </w:rPr>
      </w:pPr>
      <w:r>
        <w:rPr>
          <w:rFonts w:hint="eastAsia" w:ascii="宋体" w:hAnsi="宋体" w:eastAsia="宋体"/>
          <w:b/>
          <w:bCs/>
          <w:sz w:val="24"/>
          <w:szCs w:val="24"/>
        </w:rPr>
        <w:t>一、项目概况</w:t>
      </w:r>
    </w:p>
    <w:p w14:paraId="6F4D16CE">
      <w:pPr>
        <w:spacing w:line="360" w:lineRule="auto"/>
        <w:rPr>
          <w:rFonts w:hint="eastAsia" w:ascii="宋体" w:hAnsi="宋体" w:eastAsia="宋体"/>
          <w:bCs/>
          <w:sz w:val="24"/>
          <w:szCs w:val="24"/>
        </w:rPr>
      </w:pPr>
      <w:r>
        <w:rPr>
          <w:rFonts w:hint="eastAsia" w:ascii="宋体" w:hAnsi="宋体" w:eastAsia="宋体"/>
          <w:bCs/>
          <w:sz w:val="24"/>
          <w:szCs w:val="24"/>
        </w:rPr>
        <w:t>1、项目名称：</w:t>
      </w:r>
      <w:bookmarkStart w:id="11" w:name="_Hlk215231946"/>
      <w:r>
        <w:rPr>
          <w:rFonts w:hint="eastAsia" w:ascii="宋体" w:hAnsi="宋体" w:eastAsia="宋体"/>
          <w:bCs/>
          <w:sz w:val="24"/>
          <w:szCs w:val="24"/>
        </w:rPr>
        <w:t>金审学院校园环境提升及功能改造设计服务</w:t>
      </w:r>
      <w:bookmarkEnd w:id="11"/>
    </w:p>
    <w:p w14:paraId="7B70C163">
      <w:pPr>
        <w:spacing w:line="360" w:lineRule="auto"/>
        <w:rPr>
          <w:rFonts w:hint="eastAsia" w:ascii="宋体" w:hAnsi="宋体" w:eastAsia="宋体"/>
          <w:bCs/>
          <w:sz w:val="24"/>
          <w:szCs w:val="24"/>
        </w:rPr>
      </w:pPr>
      <w:r>
        <w:rPr>
          <w:rFonts w:hint="eastAsia" w:ascii="宋体" w:hAnsi="宋体" w:eastAsia="宋体"/>
          <w:bCs/>
          <w:sz w:val="24"/>
          <w:szCs w:val="24"/>
        </w:rPr>
        <w:t>2、项目位置：位于南京市栖霞区仙林大道100号</w:t>
      </w:r>
    </w:p>
    <w:p w14:paraId="2FB7EA2D">
      <w:pPr>
        <w:spacing w:line="360" w:lineRule="auto"/>
        <w:rPr>
          <w:rFonts w:hint="eastAsia" w:ascii="宋体" w:hAnsi="宋体" w:eastAsia="宋体"/>
          <w:bCs/>
          <w:sz w:val="24"/>
          <w:szCs w:val="24"/>
        </w:rPr>
      </w:pPr>
      <w:r>
        <w:rPr>
          <w:rFonts w:hint="eastAsia" w:ascii="宋体" w:hAnsi="宋体" w:eastAsia="宋体"/>
          <w:bCs/>
          <w:sz w:val="24"/>
          <w:szCs w:val="24"/>
        </w:rPr>
        <w:t>3、学校概况及招标范围：金审学院位于南京仙林大学城，占地500余亩，建筑面积约21万平方米，绿化面积约为10万平方米，现有建筑包括：教学楼A、教学楼B、教学楼C、教学楼D、行政楼、图书馆、专家楼、体艺馆、1-8号学生公寓、后勤辅助楼、300米操场、400米操场、篮球场（2个）等，其他未能列入的建筑不在本次设计任务的范围。</w:t>
      </w:r>
    </w:p>
    <w:p w14:paraId="3D9F99E3">
      <w:pPr>
        <w:spacing w:line="360" w:lineRule="auto"/>
        <w:rPr>
          <w:rFonts w:hint="eastAsia" w:ascii="宋体" w:hAnsi="宋体" w:eastAsia="宋体"/>
          <w:b/>
          <w:bCs/>
          <w:sz w:val="24"/>
          <w:szCs w:val="24"/>
        </w:rPr>
      </w:pPr>
      <w:r>
        <w:rPr>
          <w:rFonts w:hint="eastAsia" w:ascii="宋体" w:hAnsi="宋体" w:eastAsia="宋体"/>
          <w:b/>
          <w:bCs/>
          <w:sz w:val="24"/>
          <w:szCs w:val="24"/>
        </w:rPr>
        <w:t>二、设计要求</w:t>
      </w:r>
    </w:p>
    <w:p w14:paraId="2EDF75A1">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此次设计内容包括：（1）校园西侧主干道、大操场东侧主干道和自孔子像向北、操场向东的人行道整体出新（含道路和景观绿化）；（2）学校北门设计改造，沿仙林大道北侧的图书馆外立面出新设计；（3）各建筑亮化、部分建筑需要功能优化改造；（4）教学区、宿舍区室内外环境设计等。</w:t>
      </w:r>
    </w:p>
    <w:p w14:paraId="4DB06500">
      <w:pPr>
        <w:spacing w:line="360" w:lineRule="auto"/>
        <w:rPr>
          <w:rFonts w:hint="eastAsia" w:ascii="宋体" w:hAnsi="宋体" w:eastAsia="宋体"/>
          <w:b/>
          <w:bCs/>
          <w:sz w:val="24"/>
          <w:szCs w:val="24"/>
        </w:rPr>
      </w:pPr>
      <w:r>
        <w:rPr>
          <w:rFonts w:hint="eastAsia" w:ascii="宋体" w:hAnsi="宋体" w:eastAsia="宋体"/>
          <w:b/>
          <w:bCs/>
          <w:sz w:val="24"/>
          <w:szCs w:val="24"/>
        </w:rPr>
        <w:t>1、设计范围</w:t>
      </w:r>
    </w:p>
    <w:p w14:paraId="031F7DBB">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（1）阶段：方案设计（含投资估算）、初步设计（含概算）。</w:t>
      </w:r>
    </w:p>
    <w:p w14:paraId="6A272268">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（2）服务范围包括但不限于方案设计、初步设计及修改调整。</w:t>
      </w:r>
    </w:p>
    <w:p w14:paraId="7A5FE7D1">
      <w:pPr>
        <w:spacing w:line="360" w:lineRule="auto"/>
        <w:rPr>
          <w:rFonts w:hint="eastAsia" w:ascii="宋体" w:hAnsi="宋体" w:eastAsia="宋体"/>
          <w:b/>
          <w:bCs/>
          <w:sz w:val="24"/>
          <w:szCs w:val="24"/>
        </w:rPr>
      </w:pPr>
      <w:r>
        <w:rPr>
          <w:rFonts w:hint="eastAsia" w:ascii="宋体" w:hAnsi="宋体" w:eastAsia="宋体"/>
          <w:b/>
          <w:bCs/>
          <w:sz w:val="24"/>
          <w:szCs w:val="24"/>
        </w:rPr>
        <w:t>2、设计服务期</w:t>
      </w:r>
    </w:p>
    <w:p w14:paraId="4C4D2D51">
      <w:pPr>
        <w:spacing w:line="360" w:lineRule="auto"/>
        <w:rPr>
          <w:rFonts w:hint="eastAsia" w:ascii="宋体" w:hAnsi="宋体" w:eastAsia="宋体"/>
          <w:sz w:val="24"/>
          <w:szCs w:val="24"/>
        </w:rPr>
      </w:pPr>
      <w:r>
        <w:rPr>
          <w:rFonts w:hint="eastAsia" w:ascii="宋体" w:hAnsi="宋体" w:eastAsia="宋体"/>
          <w:sz w:val="24"/>
          <w:szCs w:val="24"/>
        </w:rPr>
        <w:t>合同签订后40日内完成：</w:t>
      </w:r>
    </w:p>
    <w:p w14:paraId="47D067F3">
      <w:pPr>
        <w:spacing w:line="360" w:lineRule="auto"/>
        <w:rPr>
          <w:rFonts w:hint="eastAsia" w:ascii="宋体" w:hAnsi="宋体" w:eastAsia="宋体"/>
          <w:sz w:val="24"/>
          <w:szCs w:val="24"/>
        </w:rPr>
      </w:pPr>
      <w:r>
        <w:rPr>
          <w:rFonts w:hint="eastAsia" w:ascii="宋体" w:hAnsi="宋体" w:eastAsia="宋体"/>
          <w:sz w:val="24"/>
          <w:szCs w:val="24"/>
        </w:rPr>
        <w:t>（1）方案设计：合同签订后10日内；（2）初步设计：</w:t>
      </w:r>
      <w:bookmarkStart w:id="12" w:name="_Hlk214971374"/>
      <w:r>
        <w:rPr>
          <w:rFonts w:hint="eastAsia" w:ascii="宋体" w:hAnsi="宋体" w:eastAsia="宋体"/>
          <w:sz w:val="24"/>
          <w:szCs w:val="24"/>
        </w:rPr>
        <w:t>合同签订后25日内</w:t>
      </w:r>
      <w:bookmarkEnd w:id="12"/>
      <w:r>
        <w:rPr>
          <w:rFonts w:hint="eastAsia" w:ascii="宋体" w:hAnsi="宋体" w:eastAsia="宋体"/>
          <w:sz w:val="24"/>
          <w:szCs w:val="24"/>
        </w:rPr>
        <w:t xml:space="preserve">； </w:t>
      </w:r>
    </w:p>
    <w:p w14:paraId="2130A1DB">
      <w:pPr>
        <w:spacing w:line="360" w:lineRule="auto"/>
        <w:rPr>
          <w:rFonts w:hint="eastAsia"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w:t>
      </w:r>
      <w:r>
        <w:rPr>
          <w:rFonts w:hint="eastAsia" w:ascii="宋体" w:hAnsi="宋体" w:eastAsia="宋体"/>
          <w:b/>
          <w:bCs/>
          <w:sz w:val="24"/>
          <w:szCs w:val="24"/>
        </w:rPr>
        <w:t>合同</w:t>
      </w:r>
      <w:r>
        <w:rPr>
          <w:rFonts w:ascii="宋体" w:hAnsi="宋体" w:eastAsia="宋体"/>
          <w:b/>
          <w:bCs/>
          <w:sz w:val="24"/>
          <w:szCs w:val="24"/>
        </w:rPr>
        <w:t>款支付进</w:t>
      </w:r>
      <w:r>
        <w:rPr>
          <w:rFonts w:hint="eastAsia" w:ascii="宋体" w:hAnsi="宋体" w:eastAsia="宋体"/>
          <w:b/>
          <w:bCs/>
          <w:sz w:val="24"/>
          <w:szCs w:val="24"/>
        </w:rPr>
        <w:t>度</w:t>
      </w:r>
      <w:r>
        <w:rPr>
          <w:rFonts w:ascii="宋体" w:hAnsi="宋体" w:eastAsia="宋体"/>
          <w:b/>
          <w:bCs/>
          <w:sz w:val="24"/>
          <w:szCs w:val="24"/>
        </w:rPr>
        <w:t>及比例</w:t>
      </w:r>
    </w:p>
    <w:p w14:paraId="61BE1A76">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方案设计通过后，付合同价的40%；（2）初步设计通过后，付合同价的60%；</w:t>
      </w:r>
    </w:p>
    <w:p w14:paraId="5509FAC8">
      <w:pPr>
        <w:spacing w:line="360" w:lineRule="auto"/>
        <w:rPr>
          <w:rFonts w:hint="eastAsia" w:ascii="宋体" w:hAnsi="宋体" w:eastAsia="宋体"/>
          <w:b/>
          <w:bCs/>
          <w:sz w:val="24"/>
          <w:szCs w:val="24"/>
        </w:rPr>
      </w:pPr>
      <w:r>
        <w:rPr>
          <w:rFonts w:hint="eastAsia" w:ascii="宋体" w:hAnsi="宋体" w:eastAsia="宋体"/>
          <w:b/>
          <w:bCs/>
          <w:sz w:val="24"/>
          <w:szCs w:val="24"/>
        </w:rPr>
        <w:t>4、设计任务</w:t>
      </w:r>
    </w:p>
    <w:p w14:paraId="7AE6A34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本项目</w:t>
      </w:r>
      <w:r>
        <w:rPr>
          <w:rFonts w:ascii="宋体" w:hAnsi="宋体" w:eastAsia="宋体"/>
          <w:sz w:val="24"/>
          <w:szCs w:val="24"/>
        </w:rPr>
        <w:t>主要设计内容包含但不限于概念方案总体布局及建设规模，平面功能布置、建筑造型及立面设计、交通流线组织、空间景观设计、</w:t>
      </w:r>
      <w:r>
        <w:rPr>
          <w:rFonts w:hint="eastAsia" w:ascii="宋体" w:hAnsi="宋体" w:eastAsia="宋体"/>
          <w:sz w:val="24"/>
          <w:szCs w:val="24"/>
        </w:rPr>
        <w:t>灯光亮化等在内的</w:t>
      </w:r>
      <w:r>
        <w:rPr>
          <w:rFonts w:ascii="宋体" w:hAnsi="宋体" w:eastAsia="宋体"/>
          <w:sz w:val="24"/>
          <w:szCs w:val="24"/>
        </w:rPr>
        <w:t>其它设计、工程造价估算等。</w:t>
      </w:r>
    </w:p>
    <w:p w14:paraId="7D136FE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在总体设计上，须从校园各区域功能、道路、植被、建筑和外围环境等方面全方位考虑，要重点考虑如何彰显办学特色。充分利用现有资源，在保留校园历史风貌的基础上合理改造，塑造新的校园形象，将金审学院仙林校区改造成为特色鲜明的地域化校园、学习环境优美的生态化校园和可持续发展的开放性校园，做到</w:t>
      </w:r>
      <w:r>
        <w:rPr>
          <w:rFonts w:ascii="宋体" w:hAnsi="宋体" w:eastAsia="宋体"/>
          <w:sz w:val="24"/>
          <w:szCs w:val="24"/>
        </w:rPr>
        <w:t>整体布局合理， 功能分区明确，要体现前瞻性、超前性。整个方案设计力求使绿地、建筑、环境等达到和谐统一的具有自然效果的环境。总体空间布局应在原总体布局的基础上结合周边地块整体分析、整体设计，重点处理好周边道路和建筑的组合关系。</w:t>
      </w:r>
    </w:p>
    <w:p w14:paraId="6DB7D97C">
      <w:pPr>
        <w:spacing w:before="48" w:line="359" w:lineRule="auto"/>
        <w:ind w:left="26" w:right="6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（2）结合功能需求，须对校园的建筑梳理，以“分区设置、合理共用”为原则,充分利用原始地貌和现有空间,调整、明确功能分区布置，力求达到分区明确，流线通畅，使用方便。</w:t>
      </w:r>
    </w:p>
    <w:p w14:paraId="411F66A7">
      <w:pPr>
        <w:spacing w:before="48" w:line="359" w:lineRule="auto"/>
        <w:ind w:left="26" w:right="6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（3）在建筑风格上，须处理好校园环境和建筑的关系，提出校园建筑风貌的改造方向,重点考虑校区建筑物外墙的色彩体系的设计，</w:t>
      </w:r>
      <w:r>
        <w:rPr>
          <w:rFonts w:ascii="宋体" w:hAnsi="宋体" w:eastAsia="宋体" w:cs="宋体"/>
          <w:spacing w:val="-2"/>
          <w:sz w:val="24"/>
          <w:szCs w:val="24"/>
        </w:rPr>
        <w:t>立面更新设计需延续校园风格，解决外墙老化（开裂、脱落、渗水） 提升建筑节能性能协调校园整体风貌强化建筑时代功能表达</w:t>
      </w:r>
      <w:r>
        <w:rPr>
          <w:rFonts w:hint="eastAsia" w:ascii="宋体" w:hAnsi="宋体" w:eastAsia="宋体" w:cs="宋体"/>
          <w:spacing w:val="-2"/>
          <w:sz w:val="24"/>
          <w:szCs w:val="24"/>
        </w:rPr>
        <w:t>。</w:t>
      </w:r>
    </w:p>
    <w:p w14:paraId="6CB1F134">
      <w:pPr>
        <w:spacing w:before="48" w:line="359" w:lineRule="auto"/>
        <w:ind w:left="26" w:right="6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其中</w:t>
      </w:r>
      <w:r>
        <w:rPr>
          <w:rFonts w:ascii="宋体" w:hAnsi="宋体" w:eastAsia="宋体" w:cs="宋体"/>
          <w:spacing w:val="-2"/>
          <w:sz w:val="24"/>
          <w:szCs w:val="24"/>
        </w:rPr>
        <w:t>更新后的校门建筑形态与风格应体现现代建筑风貌，建筑造型简洁、大方，符合现代审美准求，与周边环境协调，整体与细节和谐共生。</w:t>
      </w:r>
    </w:p>
    <w:p w14:paraId="017F3E3F">
      <w:pPr>
        <w:spacing w:before="1" w:line="218" w:lineRule="auto"/>
        <w:ind w:left="22"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景观环境要求</w:t>
      </w:r>
    </w:p>
    <w:p w14:paraId="0983AF29">
      <w:pPr>
        <w:spacing w:before="183" w:line="359" w:lineRule="auto"/>
        <w:ind w:left="22" w:firstLine="480"/>
        <w:rPr>
          <w:rFonts w:hint="eastAsia" w:ascii="宋体" w:hAnsi="宋体" w:eastAsia="宋体"/>
          <w:sz w:val="24"/>
          <w:szCs w:val="24"/>
        </w:rPr>
      </w:pPr>
      <w:r>
        <w:rPr>
          <w:rFonts w:ascii="宋体" w:hAnsi="宋体" w:eastAsia="宋体"/>
          <w:sz w:val="24"/>
          <w:szCs w:val="24"/>
        </w:rPr>
        <w:t>校园景观更新充分利用现有自然条件。整体景观应对自然地形和地貌进行富有创意的环境景观设计，与建筑环境和谐统一，平面立面空间丰富。具有鲜明的季节特色与色彩变化，营造明快、轻松的环境背景，并结合环保和节能的要求，达到人与自然、建筑与自然的和谐交融，创造良好的生态环境和特色园区空间。</w:t>
      </w:r>
    </w:p>
    <w:p w14:paraId="1BE37B2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（5）充分体现生态节能的理念，确保安全实用、经济合理、环保节能、使用方便、环境舒适。</w:t>
      </w:r>
    </w:p>
    <w:p w14:paraId="1965D5BE">
      <w:pPr>
        <w:spacing w:line="360" w:lineRule="auto"/>
        <w:rPr>
          <w:rFonts w:hint="eastAsia" w:ascii="宋体" w:hAnsi="宋体" w:eastAsia="宋体"/>
          <w:b/>
          <w:bCs/>
          <w:sz w:val="24"/>
          <w:szCs w:val="24"/>
        </w:rPr>
      </w:pPr>
      <w:r>
        <w:rPr>
          <w:rFonts w:hint="eastAsia" w:ascii="宋体" w:hAnsi="宋体" w:eastAsia="宋体"/>
          <w:b/>
          <w:bCs/>
          <w:sz w:val="24"/>
          <w:szCs w:val="24"/>
        </w:rPr>
        <w:t>5、</w:t>
      </w:r>
      <w:r>
        <w:rPr>
          <w:rFonts w:ascii="宋体" w:hAnsi="宋体" w:eastAsia="宋体"/>
          <w:b/>
          <w:bCs/>
          <w:sz w:val="24"/>
          <w:szCs w:val="24"/>
        </w:rPr>
        <w:t>设计成果要求</w:t>
      </w:r>
    </w:p>
    <w:p w14:paraId="33807F74">
      <w:pPr>
        <w:pStyle w:val="52"/>
        <w:adjustRightInd w:val="0"/>
        <w:snapToGrid w:val="0"/>
        <w:spacing w:before="0" w:beforeAutospacing="0" w:after="0" w:afterAutospacing="0" w:line="360" w:lineRule="auto"/>
        <w:rPr>
          <w:rFonts w:hint="eastAsia"/>
        </w:rPr>
      </w:pPr>
      <w:r>
        <w:rPr>
          <w:rFonts w:hint="eastAsia"/>
        </w:rPr>
        <w:t>（一）方案设计</w:t>
      </w:r>
    </w:p>
    <w:p w14:paraId="72C5A480">
      <w:pPr>
        <w:pStyle w:val="52"/>
        <w:adjustRightInd w:val="0"/>
        <w:snapToGrid w:val="0"/>
        <w:spacing w:before="0" w:beforeAutospacing="0" w:after="0" w:afterAutospacing="0" w:line="360" w:lineRule="auto"/>
        <w:ind w:firstLine="480" w:firstLineChars="200"/>
        <w:rPr>
          <w:rFonts w:hint="eastAsia"/>
        </w:rPr>
      </w:pPr>
      <w:r>
        <w:rPr>
          <w:rFonts w:hint="eastAsia"/>
        </w:rPr>
        <w:t>1、方案设计成果要求：设计单位按甲方要求对完成方案设计及投资估算。</w:t>
      </w:r>
      <w:r>
        <w:t>设计方案由文字说明部分和图纸部分两大内容构成。文字表达部分有详细的设计意图说明。</w:t>
      </w:r>
    </w:p>
    <w:p w14:paraId="2344B179">
      <w:pPr>
        <w:pStyle w:val="52"/>
        <w:adjustRightInd w:val="0"/>
        <w:snapToGrid w:val="0"/>
        <w:spacing w:before="0" w:beforeAutospacing="0" w:after="0" w:afterAutospacing="0" w:line="360" w:lineRule="auto"/>
        <w:ind w:firstLine="480" w:firstLineChars="200"/>
        <w:rPr>
          <w:rFonts w:hint="eastAsia"/>
        </w:rPr>
      </w:pPr>
      <w:r>
        <w:rPr>
          <w:rFonts w:hint="eastAsia"/>
        </w:rPr>
        <w:t>2、</w:t>
      </w:r>
      <w:r>
        <w:t>图纸部分包含但不限于：1、技术分析</w:t>
      </w:r>
      <w:r>
        <w:rPr>
          <w:rFonts w:hint="eastAsia"/>
        </w:rPr>
        <w:t>；</w:t>
      </w:r>
      <w:r>
        <w:t>2、现状分析</w:t>
      </w:r>
      <w:r>
        <w:rPr>
          <w:rFonts w:hint="eastAsia"/>
        </w:rPr>
        <w:t>；</w:t>
      </w:r>
      <w:r>
        <w:t>3、效果展示</w:t>
      </w:r>
      <w:r>
        <w:rPr>
          <w:rFonts w:hint="eastAsia"/>
        </w:rPr>
        <w:t>；</w:t>
      </w:r>
      <w:r>
        <w:t>4、建筑设计</w:t>
      </w:r>
      <w:r>
        <w:rPr>
          <w:rFonts w:hint="eastAsia"/>
        </w:rPr>
        <w:t>；</w:t>
      </w:r>
      <w:r>
        <w:t>5、室内设计</w:t>
      </w:r>
      <w:r>
        <w:rPr>
          <w:rFonts w:hint="eastAsia"/>
        </w:rPr>
        <w:t>；</w:t>
      </w:r>
      <w:r>
        <w:t>6、立面更新</w:t>
      </w:r>
      <w:r>
        <w:rPr>
          <w:rFonts w:hint="eastAsia"/>
        </w:rPr>
        <w:t>；</w:t>
      </w:r>
      <w:r>
        <w:t>7、景观设计</w:t>
      </w:r>
      <w:r>
        <w:rPr>
          <w:rFonts w:hint="eastAsia"/>
        </w:rPr>
        <w:t>；</w:t>
      </w:r>
      <w:r>
        <w:t>8、其他专业设计</w:t>
      </w:r>
    </w:p>
    <w:p w14:paraId="1D5922E3">
      <w:pPr>
        <w:pStyle w:val="52"/>
        <w:adjustRightInd w:val="0"/>
        <w:snapToGrid w:val="0"/>
        <w:spacing w:before="0" w:beforeAutospacing="0" w:after="0" w:afterAutospacing="0" w:line="360" w:lineRule="auto"/>
        <w:ind w:firstLine="480" w:firstLineChars="200"/>
        <w:rPr>
          <w:rFonts w:hint="eastAsia"/>
        </w:rPr>
      </w:pPr>
      <w:r>
        <w:rPr>
          <w:rFonts w:hint="eastAsia"/>
        </w:rPr>
        <w:t>3、方案设计A3文本4套，电子文件一套，电子文件成果为word 文档和CAD 图纸，其中 word文档以doc格式，CAD图纸以dwg格式，且均不得采用任何形式的加密。</w:t>
      </w:r>
    </w:p>
    <w:p w14:paraId="0AD27234">
      <w:pPr>
        <w:pStyle w:val="52"/>
        <w:adjustRightInd w:val="0"/>
        <w:snapToGrid w:val="0"/>
        <w:spacing w:before="0" w:beforeAutospacing="0" w:after="0" w:afterAutospacing="0" w:line="360" w:lineRule="auto"/>
        <w:rPr>
          <w:rFonts w:hint="eastAsia"/>
        </w:rPr>
      </w:pPr>
      <w:r>
        <w:rPr>
          <w:rFonts w:hint="eastAsia"/>
        </w:rPr>
        <w:t>（二）初步设计</w:t>
      </w:r>
    </w:p>
    <w:p w14:paraId="4A273DFB">
      <w:pPr>
        <w:pStyle w:val="52"/>
        <w:adjustRightInd w:val="0"/>
        <w:snapToGrid w:val="0"/>
        <w:spacing w:before="0" w:beforeAutospacing="0" w:after="0" w:afterAutospacing="0" w:line="360" w:lineRule="auto"/>
        <w:ind w:firstLine="480" w:firstLineChars="200"/>
        <w:rPr>
          <w:rFonts w:hint="eastAsia"/>
        </w:rPr>
      </w:pPr>
      <w:r>
        <w:rPr>
          <w:rFonts w:hint="eastAsia"/>
        </w:rPr>
        <w:t>1、设计单位按甲方要求应以方案文件和国家相关法律、法规、规章及规范性文件为依据，应满足后续深化、编制施工图设计文件的需要，配合甲方初步设计评审。主要包括但不限于以下部分：（1）初步设计及设计概算；（2）总平面及各单体专业设计图纸；（3）工程概算书。</w:t>
      </w:r>
    </w:p>
    <w:p w14:paraId="7F9C0D37">
      <w:pPr>
        <w:pStyle w:val="52"/>
        <w:adjustRightInd w:val="0"/>
        <w:snapToGrid w:val="0"/>
        <w:spacing w:before="0" w:beforeAutospacing="0" w:after="0" w:afterAutospacing="0" w:line="360" w:lineRule="auto"/>
        <w:ind w:firstLine="480" w:firstLineChars="200"/>
        <w:rPr>
          <w:rFonts w:hint="eastAsia"/>
        </w:rPr>
      </w:pPr>
      <w:r>
        <w:rPr>
          <w:rFonts w:hint="eastAsia"/>
        </w:rPr>
        <w:t>2、初步设计成果A3文本4套，电子文件一套（含全部初步设计成果），电子文件文本包含的word文档以doc格式、图纸CAD 以 dwg格式、彩图以jpg格式提供，且均不得采用任何形式的加密。</w:t>
      </w:r>
    </w:p>
    <w:p w14:paraId="20B4045F">
      <w:pPr>
        <w:spacing w:line="360" w:lineRule="auto"/>
        <w:rPr>
          <w:rStyle w:val="556"/>
          <w:rFonts w:hint="eastAsia" w:ascii="宋体" w:hAnsi="宋体" w:eastAsia="宋体" w:cs="宋体"/>
          <w:b/>
          <w:bCs/>
          <w:sz w:val="24"/>
        </w:rPr>
      </w:pPr>
      <w:r>
        <w:rPr>
          <w:rFonts w:hint="eastAsia" w:ascii="宋体" w:hAnsi="宋体" w:eastAsia="宋体"/>
          <w:b/>
          <w:bCs/>
          <w:sz w:val="24"/>
          <w:szCs w:val="24"/>
        </w:rPr>
        <w:t>6、</w:t>
      </w:r>
      <w:r>
        <w:rPr>
          <w:rFonts w:ascii="宋体" w:hAnsi="宋体" w:eastAsia="宋体"/>
          <w:b/>
          <w:bCs/>
          <w:sz w:val="24"/>
          <w:szCs w:val="24"/>
        </w:rPr>
        <w:t>凡本任务书没做具体要求的，按照国家现行的有关法规、政策以及各项设计规范执行</w:t>
      </w:r>
      <w:r>
        <w:rPr>
          <w:rStyle w:val="556"/>
          <w:rFonts w:hint="eastAsia" w:ascii="宋体" w:hAnsi="宋体" w:eastAsia="宋体" w:cs="宋体"/>
          <w:b/>
          <w:bCs/>
          <w:sz w:val="24"/>
        </w:rPr>
        <w:t>。</w:t>
      </w:r>
    </w:p>
    <w:p w14:paraId="35188110">
      <w:pPr>
        <w:spacing w:line="360" w:lineRule="auto"/>
        <w:rPr>
          <w:rStyle w:val="556"/>
          <w:rFonts w:hint="eastAsia" w:ascii="宋体" w:hAnsi="宋体" w:eastAsia="宋体" w:cs="宋体"/>
          <w:b/>
          <w:bCs/>
          <w:sz w:val="24"/>
        </w:rPr>
      </w:pPr>
      <w:r>
        <w:rPr>
          <w:rStyle w:val="556"/>
          <w:rFonts w:hint="eastAsia" w:ascii="宋体" w:hAnsi="宋体" w:eastAsia="宋体" w:cs="宋体"/>
          <w:b/>
          <w:bCs/>
          <w:sz w:val="24"/>
        </w:rPr>
        <w:t>7、其他：</w:t>
      </w:r>
    </w:p>
    <w:p w14:paraId="081C0068">
      <w:pPr>
        <w:pStyle w:val="52"/>
        <w:adjustRightInd w:val="0"/>
        <w:snapToGrid w:val="0"/>
        <w:spacing w:before="0" w:beforeAutospacing="0" w:after="0" w:afterAutospacing="0" w:line="360" w:lineRule="auto"/>
        <w:ind w:firstLine="480" w:firstLineChars="200"/>
        <w:rPr>
          <w:rFonts w:hint="eastAsia"/>
        </w:rPr>
      </w:pPr>
      <w:r>
        <w:t>（</w:t>
      </w:r>
      <w:r>
        <w:rPr>
          <w:rFonts w:hint="eastAsia"/>
        </w:rPr>
        <w:t>1</w:t>
      </w:r>
      <w:r>
        <w:t>）</w:t>
      </w:r>
      <w:r>
        <w:rPr>
          <w:rFonts w:hint="eastAsia"/>
        </w:rPr>
        <w:t>招标人有权决定本项目的暂停及终止，如项目暂停或终止，综合打分排名第一位的设计补偿1</w:t>
      </w:r>
      <w:r>
        <w:t>万元，第二</w:t>
      </w:r>
      <w:r>
        <w:rPr>
          <w:rFonts w:hint="eastAsia"/>
        </w:rPr>
        <w:t>位</w:t>
      </w:r>
      <w:r>
        <w:t>补偿</w:t>
      </w:r>
      <w:r>
        <w:rPr>
          <w:rFonts w:hint="eastAsia"/>
        </w:rPr>
        <w:t>6000</w:t>
      </w:r>
      <w:r>
        <w:t>元，第三</w:t>
      </w:r>
      <w:r>
        <w:rPr>
          <w:rFonts w:hint="eastAsia"/>
        </w:rPr>
        <w:t>位</w:t>
      </w:r>
      <w:r>
        <w:t>补偿</w:t>
      </w:r>
      <w:r>
        <w:rPr>
          <w:rFonts w:hint="eastAsia"/>
        </w:rPr>
        <w:t>4000</w:t>
      </w:r>
      <w:r>
        <w:t>元。</w:t>
      </w:r>
    </w:p>
    <w:p w14:paraId="35485519">
      <w:pPr>
        <w:pStyle w:val="52"/>
        <w:adjustRightInd w:val="0"/>
        <w:snapToGrid w:val="0"/>
        <w:spacing w:before="0" w:beforeAutospacing="0" w:after="0" w:afterAutospacing="0" w:line="360" w:lineRule="auto"/>
        <w:ind w:firstLine="480" w:firstLineChars="200"/>
        <w:rPr>
          <w:rFonts w:hint="eastAsia"/>
        </w:rPr>
      </w:pPr>
      <w:r>
        <w:t>（</w:t>
      </w:r>
      <w:r>
        <w:rPr>
          <w:rFonts w:hint="eastAsia"/>
        </w:rPr>
        <w:t>2</w:t>
      </w:r>
      <w:r>
        <w:t>）</w:t>
      </w:r>
      <w:r>
        <w:rPr>
          <w:rFonts w:hint="eastAsia"/>
        </w:rPr>
        <w:t>中标人与招标人签订合同后，综合排名</w:t>
      </w:r>
      <w:r>
        <w:t>第二</w:t>
      </w:r>
      <w:r>
        <w:rPr>
          <w:rFonts w:hint="eastAsia"/>
        </w:rPr>
        <w:t>位设计</w:t>
      </w:r>
      <w:r>
        <w:t>补偿</w:t>
      </w:r>
      <w:r>
        <w:rPr>
          <w:rFonts w:hint="eastAsia"/>
        </w:rPr>
        <w:t>6000</w:t>
      </w:r>
      <w:r>
        <w:t>元，第三</w:t>
      </w:r>
      <w:r>
        <w:rPr>
          <w:rFonts w:hint="eastAsia"/>
        </w:rPr>
        <w:t>位设计</w:t>
      </w:r>
      <w:r>
        <w:t>补偿</w:t>
      </w:r>
      <w:r>
        <w:rPr>
          <w:rFonts w:hint="eastAsia"/>
        </w:rPr>
        <w:t>4000</w:t>
      </w:r>
      <w:r>
        <w:t>元。</w:t>
      </w:r>
      <w:r>
        <w:rPr>
          <w:rFonts w:hint="eastAsia"/>
        </w:rPr>
        <w:t>后期招标人对各项目的施工图设计进行招标或商谈后直接签约时，如签约方为本采购项目的中标人，本次的设计（含方案设计及初步设计）服务费将在施工图设计服务费中扣除。</w:t>
      </w:r>
    </w:p>
    <w:p w14:paraId="1D8B310F">
      <w:pPr>
        <w:rPr>
          <w:rFonts w:hint="eastAsia" w:ascii="宋体" w:hAnsi="宋体" w:eastAsia="宋体"/>
          <w:sz w:val="24"/>
          <w:szCs w:val="24"/>
          <w:highlight w:val="yellow"/>
        </w:rPr>
      </w:pPr>
    </w:p>
    <w:p w14:paraId="2FC96D30">
      <w:pPr>
        <w:rPr>
          <w:rFonts w:hint="eastAsia" w:ascii="宋体" w:hAnsi="宋体" w:eastAsia="宋体"/>
          <w:sz w:val="24"/>
          <w:szCs w:val="24"/>
          <w:highlight w:val="yellow"/>
        </w:rPr>
      </w:pPr>
    </w:p>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3"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13"/>
      <w:r>
        <w:rPr>
          <w:rFonts w:hint="eastAsia" w:ascii="宋体" w:hAnsi="宋体" w:eastAsia="宋体" w:cs="宋体"/>
          <w:b/>
          <w:bCs/>
          <w:kern w:val="0"/>
          <w:sz w:val="36"/>
          <w:szCs w:val="36"/>
        </w:rPr>
        <w:t>（参考）</w:t>
      </w:r>
    </w:p>
    <w:p w14:paraId="19E5D28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33F5C560">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甲方：</w:t>
      </w:r>
    </w:p>
    <w:p w14:paraId="621D5B45">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乙方：</w:t>
      </w:r>
    </w:p>
    <w:p w14:paraId="7DBC3B3D">
      <w:pPr>
        <w:spacing w:line="360" w:lineRule="auto"/>
        <w:rPr>
          <w:rFonts w:hint="eastAsia" w:ascii="宋体" w:hAnsi="宋体" w:eastAsia="宋体" w:cs="宋体"/>
          <w:kern w:val="0"/>
          <w:sz w:val="24"/>
          <w:szCs w:val="24"/>
        </w:rPr>
      </w:pPr>
    </w:p>
    <w:p w14:paraId="64AE029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甲、乙双方根据《中华人民共和国民法典》等相关法律法规规定，按照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项目的公开招标采购结果，签署本合同。</w:t>
      </w:r>
    </w:p>
    <w:p w14:paraId="02A73421">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一、采购标的</w:t>
      </w:r>
    </w:p>
    <w:p w14:paraId="6387897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1.1乙方向甲方提供的服务内容：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（具体的服务的内容、要求、服务质量等详见采购文件、中标供应商的响应文件及采购过程中有关澄清、承诺文件）。</w:t>
      </w:r>
    </w:p>
    <w:p w14:paraId="61B16BE7">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二、合同金额</w:t>
      </w:r>
    </w:p>
    <w:p w14:paraId="6E856D4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2.1双方商定，本项目为固定总价合同，设计费合同总额为（大写）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（小写_____元）。</w:t>
      </w:r>
    </w:p>
    <w:p w14:paraId="0FBF5B3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本合同金额包含项目实施所有费用（包含工资、福利、保险、劳保等人员费用、相关产品费用、专利技术及相关所发生的全部费用）以及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14:paraId="3B1B665C">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三、合同款支付</w:t>
      </w:r>
    </w:p>
    <w:p w14:paraId="459B173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3.1付款方式： </w:t>
      </w:r>
    </w:p>
    <w:p w14:paraId="6E87666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（1）方案设计通过后，十五日内，支付合同价的40%；</w:t>
      </w:r>
    </w:p>
    <w:p w14:paraId="5B70BD1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（2）初步设计通过后，十五日内，支付合同价的60%；</w:t>
      </w:r>
    </w:p>
    <w:p w14:paraId="77E8B9A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3.2本合同项下的采购资金由甲方自行支付，乙方向甲方开具发票。</w:t>
      </w:r>
    </w:p>
    <w:p w14:paraId="3626E70D">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四、组成本合同的有关文件</w:t>
      </w:r>
    </w:p>
    <w:p w14:paraId="0D7ABE2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4.1本项目采购文件、中标供应商的响应文件及采购过程中有关澄清、承诺文件均为本合同有效附件，是本合同不可分割的组成部分，与本合同具有同等法律效力。</w:t>
      </w:r>
    </w:p>
    <w:p w14:paraId="38DDD59B">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五、服务期、服务地点</w:t>
      </w:r>
    </w:p>
    <w:p w14:paraId="3158635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5.1服务期/交付期：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6E6E34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5.2服务地点：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02A923BC">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六、转包或分包</w:t>
      </w:r>
    </w:p>
    <w:p w14:paraId="2DCCA51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6.1本合同范围内服务，应由乙方直接提供，不得转让他人承接；</w:t>
      </w:r>
    </w:p>
    <w:p w14:paraId="1EE602E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6.2 除非得到甲方的书面同意，乙方不得部分分包给他人承接。</w:t>
      </w:r>
    </w:p>
    <w:p w14:paraId="790A3474">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七、甲方权利和义务：</w:t>
      </w:r>
    </w:p>
    <w:p w14:paraId="178B2C7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7.1甲方依据采购文件上的项目要求、乙方响应文件承诺及国家有关质量标准进行对乙方提供的服务及履行本合同情况实行考核验收。验收时乙方必须在现场，验收完毕后作出验收结果报告。考核验收标准为：</w:t>
      </w:r>
    </w:p>
    <w:p w14:paraId="5136BC6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3BE6CB6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7.2对专业技术复杂的服务，甲方可请国家认可的专业检测机构或组织相关的技术专家参与验收，并由其出具检测报告或验收报告。</w:t>
      </w:r>
    </w:p>
    <w:p w14:paraId="2017192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7.3采购文件规定以外的验收费用由甲乙双方协商解决。若服务经考核验收不符合技术服务要求和标准的，由乙方承担验收费用。</w:t>
      </w:r>
    </w:p>
    <w:p w14:paraId="312C86A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7.4甲方有义务在适当的范围内公开考核结果，甲方有权对项目资金使用情况进行监督、检查，并要求乙方提供相关资料。</w:t>
      </w:r>
    </w:p>
    <w:p w14:paraId="1436387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7.5因突发情况，甲方需调动乙方人员和器材设备时，乙方应服从安排并予以配合。</w:t>
      </w:r>
    </w:p>
    <w:p w14:paraId="7F21F75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7.6甲方有权根据国家政策或法律法规的变动对服务的需求标准和质量做出相应变动。</w:t>
      </w:r>
    </w:p>
    <w:p w14:paraId="551B9076">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八、乙方权利和义务：</w:t>
      </w:r>
    </w:p>
    <w:p w14:paraId="1D81EB7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8.1乙方应根据国家标准、行业标准和规范要求、采购文件规定的服务质量标准和有关要求及响应文件所作的承诺完成服务工作。</w:t>
      </w:r>
    </w:p>
    <w:p w14:paraId="1C32091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8.2乙方应接受并主动配合甲方及行业主管部门的检查，对甲方指出的问题，应及时做出合理解释或予以纠正。</w:t>
      </w:r>
    </w:p>
    <w:p w14:paraId="4693BCA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8.3对因乙方管理不善而造成甲方的损失，乙方应负责及时修复或照价赔偿。</w:t>
      </w:r>
    </w:p>
    <w:p w14:paraId="2CB931D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8.4乙方应保证本合同提供的服务及相关的软件和技术资料等，均已取得有关知识产权的权利人的合法授权，如发生侵权等争议，乙方负责处理并承担由此引发的全部责任。</w:t>
      </w:r>
    </w:p>
    <w:p w14:paraId="57B95FB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8.5乙方应做好详细的管理台账，建立管理档案，并按双方约定将管理情况汇总报送甲方。</w:t>
      </w:r>
    </w:p>
    <w:p w14:paraId="7D99D72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8.6为确保服务质量，乙方须安排管理人员进行监督管理。</w:t>
      </w:r>
    </w:p>
    <w:p w14:paraId="11E0E88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8.7服务过程中，乙方必须采取周密的安全措施，以避免对人身和财产的损害。如因乙方原因而造成人身伤害或财产损失的，由乙方承担全部责任。</w:t>
      </w:r>
    </w:p>
    <w:p w14:paraId="7C45AE1A">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九、违约责任</w:t>
      </w:r>
    </w:p>
    <w:p w14:paraId="18350F9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9.1甲方无正当理由要求取消服务的，应按合同总价款的百分之五向乙方偿付违约金。</w:t>
      </w:r>
    </w:p>
    <w:p w14:paraId="46A3B5F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9.2甲方无故逾期验收和办理合同款支付手续的,甲方应按逾期付款总额每日万分之五向乙方支付违约金。</w:t>
      </w:r>
    </w:p>
    <w:p w14:paraId="1187F78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9.3乙方不能按约定时间和要求提供服务的，乙方应按合同总额每日千分之六向甲方支付违约金，由甲方从待付合同款中扣除。逾期超过约定日期10个自然日不能提供约定服务的，甲方可解除本合同。乙方因违约行为导致甲方解除合同的，乙方应向甲方支付合同总值百分之五的违约金，如造成甲方损失超过违约金的，超出部分由乙方继续承担赔偿责任。 </w:t>
      </w:r>
    </w:p>
    <w:p w14:paraId="2830D8F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9.4乙方提供的服务不符合采购文件项目需求要求、乙方响应文件承诺及国家有关质量标准的，甲方有权拒收。乙方愿意完善但逾期提供约定要求服务的，按乙方逾期提供服务处理。乙方拒绝完善的，甲方可单方面解除合同，并由乙方赔偿由此造成的甲方全部损失。</w:t>
      </w:r>
    </w:p>
    <w:p w14:paraId="7500D937">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十、合同的解除</w:t>
      </w:r>
    </w:p>
    <w:p w14:paraId="3C9A107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10.1有下列情形之一，合同一方可以解除合同：</w:t>
      </w:r>
    </w:p>
    <w:p w14:paraId="7D77487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（1）因合同一方违约导致合同不能履行，另一方有权解除合同。</w:t>
      </w:r>
    </w:p>
    <w:p w14:paraId="64244B9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（2）甲方有权在出现以下情形时单方面解除合同，合同解除自书面解除通知到达乙方时生效：</w:t>
      </w:r>
    </w:p>
    <w:p w14:paraId="5F74764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①乙方逾期未实施或完成约定服务超过10个自然日。</w:t>
      </w:r>
    </w:p>
    <w:p w14:paraId="11E9A7B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②乙方履行本合同约定义务时，未达到约定要求，修改或整改超过3次仍然无法达到约定要求。</w:t>
      </w:r>
    </w:p>
    <w:p w14:paraId="4BD47E0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③乙方有转让或未经甲方同意的分包行为。 </w:t>
      </w:r>
    </w:p>
    <w:p w14:paraId="31F3F59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10.2乙方应对甲方提供的资料具有保密义务，未经甲方同意，不得将与本合同的相关内容资料提供给任何第三方单位和个人，否则甲方有权解除合同，并由乙方赔偿由此造成的甲方全部损失。</w:t>
      </w:r>
    </w:p>
    <w:p w14:paraId="77215EEB">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十一、补充条款</w:t>
      </w:r>
    </w:p>
    <w:p w14:paraId="56435EFF">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p>
    <w:p w14:paraId="71A03FC4">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十二、不可抗力事件处理</w:t>
      </w:r>
    </w:p>
    <w:p w14:paraId="2BBB27F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12.1 在合同有效期内，任何一方因不可抗力事件导致不能履行合同，则合同履行期可延长，其延长期与不可抗力影响期相同。</w:t>
      </w:r>
    </w:p>
    <w:p w14:paraId="45F8AF4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12.2 不可抗力事件发生后，应立即通知对方，并寄送有关权威机构出具的证明。</w:t>
      </w:r>
    </w:p>
    <w:p w14:paraId="706834D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12.3 不可抗力事件延续120天以上，双方应通过友好协商，确定是否继续履行合同。</w:t>
      </w:r>
    </w:p>
    <w:p w14:paraId="68C103D6">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十三、诉讼</w:t>
      </w:r>
    </w:p>
    <w:p w14:paraId="4FBD04D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13.1 双方在执行合同中所发生的一切争议，应通过协商解决。如协商不成，可向合同签订地法院起诉，合同签订地在此约定为南京市。</w:t>
      </w:r>
    </w:p>
    <w:p w14:paraId="216F1BEC">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十四、合同生效及其它</w:t>
      </w:r>
    </w:p>
    <w:p w14:paraId="3E8EFD9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14.1 合同经双方法定代表人或授权委托代表人签字并加盖单位公章或合同专用章后生效。</w:t>
      </w:r>
    </w:p>
    <w:p w14:paraId="0EA3169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14.2本合同未尽事宜，遵照《中华人民共和国民法典》有关条文执行。对本合同内容的任何修改和变更由甲乙双方协商后达成书面补充协议，并经双方签字并加盖单位公章或合同专用章后生效，补充协议与本合同具有同等法律效力。</w:t>
      </w:r>
    </w:p>
    <w:p w14:paraId="21A69A6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14.3 本合同正本一式四份，具有同等法律效力，甲乙方各执两份。</w:t>
      </w:r>
    </w:p>
    <w:p w14:paraId="0F7E9C24">
      <w:pPr>
        <w:spacing w:line="360" w:lineRule="auto"/>
        <w:rPr>
          <w:rFonts w:hint="eastAsia" w:ascii="宋体" w:hAnsi="宋体" w:eastAsia="宋体" w:cs="宋体"/>
          <w:kern w:val="0"/>
          <w:sz w:val="24"/>
          <w:szCs w:val="24"/>
        </w:rPr>
      </w:pPr>
    </w:p>
    <w:p w14:paraId="0738DD6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甲方全称（盖章）：                      乙方全称（盖章）： </w:t>
      </w:r>
    </w:p>
    <w:p w14:paraId="2B93A253">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法定代表人或授权代表（签字）：          法定代表人或授权代表（签字）：</w:t>
      </w:r>
    </w:p>
    <w:p w14:paraId="59C70A11">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地    址：                             地    址： </w:t>
      </w:r>
    </w:p>
    <w:p w14:paraId="43DA05B1">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联系电话：                             联系电话：</w:t>
      </w:r>
    </w:p>
    <w:p w14:paraId="1ED9E474">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签订日期：                             签订日期：</w:t>
      </w: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4" w:name="_Toc179553572"/>
      <w:r>
        <w:rPr>
          <w:rFonts w:hint="eastAsia" w:ascii="宋体" w:hAnsi="宋体" w:eastAsia="宋体" w:cs="宋体"/>
          <w:b/>
          <w:bCs/>
          <w:kern w:val="0"/>
          <w:sz w:val="36"/>
          <w:szCs w:val="36"/>
        </w:rPr>
        <w:t>第六章  投标文件格式</w:t>
      </w:r>
      <w:bookmarkEnd w:id="14"/>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5F384DAD">
      <w:pPr>
        <w:spacing w:line="264" w:lineRule="auto"/>
        <w:jc w:val="center"/>
        <w:rPr>
          <w:rFonts w:hint="eastAsia" w:ascii="宋体" w:hAnsi="宋体" w:eastAsia="宋体" w:cs="金山简魏碑"/>
          <w:sz w:val="36"/>
          <w:szCs w:val="21"/>
        </w:rPr>
      </w:pPr>
    </w:p>
    <w:p w14:paraId="0E08C28A">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一、磋商申请及声明格式</w:t>
      </w:r>
    </w:p>
    <w:p w14:paraId="0E2C06FF">
      <w:pPr>
        <w:jc w:val="center"/>
        <w:rPr>
          <w:rFonts w:hint="eastAsia" w:ascii="宋体" w:hAnsi="宋体" w:eastAsia="宋体" w:cs="Times New Roman"/>
          <w:b/>
          <w:color w:val="000000"/>
          <w:sz w:val="24"/>
          <w:szCs w:val="24"/>
        </w:rPr>
      </w:pP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磋商申请及声明</w:t>
      </w:r>
    </w:p>
    <w:p w14:paraId="7D06521F">
      <w:pPr>
        <w:spacing w:line="360" w:lineRule="auto"/>
        <w:rPr>
          <w:rFonts w:hint="eastAsia" w:ascii="宋体" w:hAnsi="宋体" w:eastAsia="宋体" w:cs="Times New Roman"/>
          <w:sz w:val="24"/>
          <w:szCs w:val="24"/>
        </w:rPr>
      </w:pPr>
      <w:bookmarkStart w:id="15"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1、所附投标报价表中规定的应提交首次投标总价（大写）：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bookmarkEnd w:id="15"/>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二、法定代表人授权委托书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16" w:name="_Toc25030888"/>
      <w:r>
        <w:rPr>
          <w:rFonts w:hint="eastAsia" w:ascii="宋体" w:hAnsi="宋体" w:eastAsia="宋体" w:cs="Times New Roman"/>
          <w:color w:val="000000"/>
          <w:sz w:val="24"/>
          <w:szCs w:val="24"/>
        </w:rPr>
        <w:t>附委托代理人的身份证明文件的复印件：</w:t>
      </w:r>
    </w:p>
    <w:p w14:paraId="7E98DD1F">
      <w:pPr>
        <w:spacing w:line="360" w:lineRule="auto"/>
        <w:rPr>
          <w:rFonts w:hint="eastAsia" w:ascii="宋体" w:hAnsi="宋体" w:eastAsia="宋体" w:cs="Times New Roman"/>
          <w:szCs w:val="24"/>
        </w:rPr>
        <w:sectPr>
          <w:footerReference r:id="rId8" w:type="default"/>
          <w:pgSz w:w="11906" w:h="16838"/>
          <w:pgMar w:top="1440" w:right="1800" w:bottom="1440" w:left="1800" w:header="851" w:footer="851" w:gutter="0"/>
          <w:cols w:space="720" w:num="1"/>
          <w:docGrid w:linePitch="312" w:charSpace="0"/>
        </w:sectPr>
      </w:pPr>
      <w:bookmarkStart w:id="17" w:name="_Toc434218974"/>
    </w:p>
    <w:bookmarkEnd w:id="17"/>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三、拟投入项目人员汇总表</w:t>
      </w:r>
    </w:p>
    <w:p w14:paraId="3256C703">
      <w:pPr>
        <w:jc w:val="center"/>
        <w:rPr>
          <w:rFonts w:hint="eastAsia" w:ascii="宋体" w:hAnsi="宋体" w:eastAsia="宋体" w:cs="Times New Roman"/>
          <w:b/>
          <w:color w:val="000000"/>
          <w:sz w:val="28"/>
          <w:szCs w:val="28"/>
        </w:rPr>
      </w:pP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FEAD2DE">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四</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D1D0322">
      <w:pPr>
        <w:spacing w:line="360" w:lineRule="auto"/>
        <w:rPr>
          <w:rFonts w:ascii="Times New Roman" w:hAnsi="Times New Roman" w:eastAsia="宋体" w:cs="Times New Roman"/>
          <w:b/>
          <w:sz w:val="28"/>
          <w:szCs w:val="28"/>
        </w:rPr>
      </w:pPr>
    </w:p>
    <w:p w14:paraId="4D0DEEE4">
      <w:pPr>
        <w:spacing w:line="360" w:lineRule="auto"/>
        <w:rPr>
          <w:rFonts w:ascii="Times New Roman" w:hAnsi="Times New Roman" w:eastAsia="宋体" w:cs="Times New Roman"/>
          <w:b/>
          <w:sz w:val="28"/>
          <w:szCs w:val="28"/>
        </w:rPr>
      </w:pPr>
    </w:p>
    <w:p w14:paraId="2A927BDE">
      <w:pPr>
        <w:spacing w:line="360" w:lineRule="auto"/>
        <w:rPr>
          <w:rFonts w:ascii="Times New Roman" w:hAnsi="Times New Roman" w:eastAsia="宋体" w:cs="Times New Roman"/>
          <w:b/>
          <w:sz w:val="28"/>
          <w:szCs w:val="28"/>
        </w:rPr>
      </w:pPr>
    </w:p>
    <w:p w14:paraId="50A6C1B9">
      <w:pPr>
        <w:spacing w:line="360" w:lineRule="auto"/>
        <w:rPr>
          <w:rFonts w:ascii="Times New Roman" w:hAnsi="Times New Roman" w:eastAsia="宋体" w:cs="Times New Roman"/>
          <w:b/>
          <w:sz w:val="28"/>
          <w:szCs w:val="28"/>
        </w:rPr>
      </w:pPr>
    </w:p>
    <w:p w14:paraId="2862BA63">
      <w:pPr>
        <w:spacing w:line="360" w:lineRule="auto"/>
        <w:rPr>
          <w:rFonts w:ascii="Times New Roman" w:hAnsi="Times New Roman" w:eastAsia="宋体" w:cs="Times New Roman"/>
          <w:b/>
          <w:sz w:val="28"/>
          <w:szCs w:val="28"/>
        </w:rPr>
      </w:pPr>
    </w:p>
    <w:p w14:paraId="6E953C2F">
      <w:pPr>
        <w:spacing w:line="360" w:lineRule="auto"/>
        <w:rPr>
          <w:rFonts w:ascii="Times New Roman" w:hAnsi="Times New Roman" w:eastAsia="宋体" w:cs="Times New Roman"/>
          <w:b/>
          <w:sz w:val="28"/>
          <w:szCs w:val="28"/>
        </w:rPr>
      </w:pPr>
    </w:p>
    <w:p w14:paraId="6E32B734">
      <w:pPr>
        <w:spacing w:line="360" w:lineRule="auto"/>
        <w:rPr>
          <w:rFonts w:ascii="Times New Roman" w:hAnsi="Times New Roman" w:eastAsia="宋体" w:cs="Times New Roman"/>
          <w:b/>
          <w:sz w:val="28"/>
          <w:szCs w:val="28"/>
        </w:rPr>
      </w:pPr>
    </w:p>
    <w:p w14:paraId="2DA52F32">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五</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491A375D">
      <w:pPr>
        <w:autoSpaceDE w:val="0"/>
        <w:autoSpaceDN w:val="0"/>
        <w:spacing w:before="1"/>
        <w:jc w:val="left"/>
        <w:rPr>
          <w:rFonts w:hint="eastAsia" w:ascii="宋体" w:hAnsi="宋体" w:eastAsia="宋体" w:cs="宋体"/>
          <w:kern w:val="0"/>
          <w:sz w:val="14"/>
          <w:szCs w:val="24"/>
          <w:lang w:val="zh-CN" w:bidi="zh-CN"/>
        </w:rPr>
      </w:pPr>
    </w:p>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六、《技术条款偏离表》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79C3FDC1">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4159DDEF">
      <w:pPr>
        <w:spacing w:line="360" w:lineRule="auto"/>
        <w:jc w:val="center"/>
        <w:rPr>
          <w:rFonts w:hint="eastAsia" w:ascii="Times New Roman" w:hAnsi="宋体" w:eastAsia="宋体" w:cs="Times New Roman"/>
          <w:b/>
          <w:bCs/>
          <w:kern w:val="0"/>
          <w:sz w:val="24"/>
          <w:szCs w:val="24"/>
        </w:rPr>
      </w:pPr>
      <w:r>
        <w:rPr>
          <w:rFonts w:hint="eastAsia" w:ascii="Times New Roman" w:hAnsi="Times New Roman" w:eastAsia="宋体" w:cs="Times New Roman"/>
          <w:b/>
          <w:sz w:val="28"/>
          <w:szCs w:val="28"/>
        </w:rPr>
        <w:t>七、 技术</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2FA3E4F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3D942BC7">
      <w:pPr>
        <w:spacing w:line="360" w:lineRule="auto"/>
        <w:jc w:val="left"/>
        <w:rPr>
          <w:rFonts w:hint="eastAsia" w:ascii="Times New Roman" w:hAnsi="宋体" w:eastAsia="宋体" w:cs="Times New Roman"/>
          <w:kern w:val="0"/>
          <w:sz w:val="24"/>
          <w:szCs w:val="24"/>
        </w:rPr>
      </w:pPr>
    </w:p>
    <w:p w14:paraId="78604CC7">
      <w:pPr>
        <w:spacing w:line="360" w:lineRule="auto"/>
        <w:rPr>
          <w:rFonts w:hint="eastAsia" w:ascii="Times New Roman" w:hAnsi="宋体" w:eastAsia="宋体" w:cs="Times New Roman"/>
          <w:b/>
          <w:bCs/>
          <w:kern w:val="0"/>
          <w:sz w:val="24"/>
          <w:szCs w:val="24"/>
        </w:rPr>
      </w:pPr>
      <w:bookmarkStart w:id="18" w:name="_Toc434218975"/>
    </w:p>
    <w:p w14:paraId="216E662E">
      <w:pPr>
        <w:adjustRightInd w:val="0"/>
        <w:snapToGrid w:val="0"/>
        <w:spacing w:line="300" w:lineRule="auto"/>
        <w:rPr>
          <w:rFonts w:hint="eastAsia" w:ascii="宋体" w:hAnsi="宋体" w:eastAsia="宋体" w:cs="Times New Roman"/>
          <w:color w:val="000000"/>
          <w:szCs w:val="24"/>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八、无重大违法记录声明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437A07F7">
      <w:pPr>
        <w:adjustRightInd w:val="0"/>
        <w:snapToGrid w:val="0"/>
        <w:spacing w:line="300" w:lineRule="auto"/>
        <w:rPr>
          <w:rFonts w:hint="eastAsia" w:ascii="宋体" w:hAnsi="宋体" w:eastAsia="宋体" w:cs="宋体"/>
          <w:kern w:val="0"/>
          <w:sz w:val="24"/>
          <w:szCs w:val="24"/>
          <w:lang w:val="zh-CN" w:bidi="zh-CN"/>
        </w:rPr>
      </w:pPr>
    </w:p>
    <w:p w14:paraId="3B9074B5">
      <w:pPr>
        <w:adjustRightInd w:val="0"/>
        <w:snapToGrid w:val="0"/>
        <w:spacing w:line="300" w:lineRule="auto"/>
        <w:rPr>
          <w:rFonts w:hint="eastAsia" w:ascii="宋体" w:hAnsi="宋体" w:eastAsia="宋体" w:cs="宋体"/>
          <w:kern w:val="0"/>
          <w:sz w:val="24"/>
          <w:szCs w:val="24"/>
          <w:lang w:val="zh-CN" w:bidi="zh-CN"/>
        </w:rPr>
      </w:pPr>
    </w:p>
    <w:p w14:paraId="2FDA25C3">
      <w:pPr>
        <w:adjustRightInd w:val="0"/>
        <w:snapToGrid w:val="0"/>
        <w:spacing w:line="300" w:lineRule="auto"/>
        <w:rPr>
          <w:rFonts w:hint="eastAsia" w:ascii="宋体" w:hAnsi="宋体" w:eastAsia="宋体" w:cs="宋体"/>
          <w:kern w:val="0"/>
          <w:sz w:val="24"/>
          <w:szCs w:val="24"/>
          <w:lang w:val="zh-CN" w:bidi="zh-CN"/>
        </w:rPr>
      </w:pPr>
    </w:p>
    <w:p w14:paraId="5EE773CB">
      <w:pPr>
        <w:adjustRightInd w:val="0"/>
        <w:snapToGrid w:val="0"/>
        <w:spacing w:line="300" w:lineRule="auto"/>
        <w:rPr>
          <w:rFonts w:hint="eastAsia" w:ascii="宋体" w:hAnsi="宋体" w:eastAsia="宋体" w:cs="宋体"/>
          <w:kern w:val="0"/>
          <w:sz w:val="24"/>
          <w:szCs w:val="24"/>
          <w:lang w:val="zh-CN" w:bidi="zh-CN"/>
        </w:rPr>
      </w:pPr>
    </w:p>
    <w:bookmarkEnd w:id="16"/>
    <w:bookmarkEnd w:id="18"/>
    <w:p w14:paraId="2B12C8B2">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九、投标人认为需提供的其他资料（格式自拟）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Rounded MT Bold">
    <w:altName w:val="Arial"/>
    <w:panose1 w:val="020F0704030504030204"/>
    <w:charset w:val="00"/>
    <w:family w:val="swiss"/>
    <w:pitch w:val="default"/>
    <w:sig w:usb0="00000000" w:usb1="00000000" w:usb2="00000000" w:usb3="00000000" w:csb0="0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微软雅黑"/>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文鼎CS中宋">
    <w:altName w:val="宋体"/>
    <w:panose1 w:val="00000000000000000000"/>
    <w:charset w:val="86"/>
    <w:family w:val="moder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NLe">
    <w:altName w:val="Segoe Print"/>
    <w:panose1 w:val="00000000000000000000"/>
    <w:charset w:val="00"/>
    <w:family w:val="auto"/>
    <w:pitch w:val="default"/>
    <w:sig w:usb0="00000000" w:usb1="00000000" w:usb2="00000000" w:usb3="00000000" w:csb0="00000000" w:csb1="00000000"/>
  </w:font>
  <w:font w:name="7BKN_gb2312">
    <w:altName w:val="方正公文仿宋"/>
    <w:panose1 w:val="00000000000000000000"/>
    <w:charset w:val="00"/>
    <w:family w:val="roman"/>
    <w:pitch w:val="default"/>
    <w:sig w:usb0="00000000" w:usb1="00000000" w:usb2="00000000" w:usb3="00000000" w:csb0="00040001" w:csb1="00000000"/>
  </w:font>
  <w:font w:name="苹方-简">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DVPKN">
    <w:altName w:val="方正公文仿宋"/>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方正公文仿宋"/>
    <w:panose1 w:val="00000000000000000000"/>
    <w:charset w:val="00"/>
    <w:family w:val="roman"/>
    <w:pitch w:val="default"/>
    <w:sig w:usb0="00000000" w:usb1="00000000" w:usb2="00000000" w:usb3="00000000" w:csb0="00040001" w:csb1="00000000"/>
  </w:font>
  <w:font w:name="*ndvpkn">
    <w:altName w:val="方正公文仿宋"/>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ヒラギノ角ゴ Pro W3">
    <w:altName w:val="Yu Gothic"/>
    <w:panose1 w:val="00000000000000000000"/>
    <w:charset w:val="80"/>
    <w:family w:val="auto"/>
    <w:pitch w:val="default"/>
    <w:sig w:usb0="00000000" w:usb1="00000000" w:usb2="00000012" w:usb3="00000000" w:csb0="0002000D" w:csb1="00000000"/>
  </w:font>
  <w:font w:name="方正姚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22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123BE"/>
    <w:rsid w:val="000247BE"/>
    <w:rsid w:val="00025EC4"/>
    <w:rsid w:val="00025EE2"/>
    <w:rsid w:val="0003323C"/>
    <w:rsid w:val="00033C32"/>
    <w:rsid w:val="00042E23"/>
    <w:rsid w:val="000452C3"/>
    <w:rsid w:val="00045BFB"/>
    <w:rsid w:val="0004612D"/>
    <w:rsid w:val="0004691B"/>
    <w:rsid w:val="000476F8"/>
    <w:rsid w:val="000477A6"/>
    <w:rsid w:val="00051BB5"/>
    <w:rsid w:val="00067E2A"/>
    <w:rsid w:val="0007509A"/>
    <w:rsid w:val="00075BC1"/>
    <w:rsid w:val="00086D0C"/>
    <w:rsid w:val="00092D20"/>
    <w:rsid w:val="00094042"/>
    <w:rsid w:val="0009607A"/>
    <w:rsid w:val="00097866"/>
    <w:rsid w:val="000A151C"/>
    <w:rsid w:val="000A5977"/>
    <w:rsid w:val="000A7314"/>
    <w:rsid w:val="000B0C48"/>
    <w:rsid w:val="000B1B74"/>
    <w:rsid w:val="000B2689"/>
    <w:rsid w:val="000B5A82"/>
    <w:rsid w:val="000B7D80"/>
    <w:rsid w:val="000B7E60"/>
    <w:rsid w:val="000C0F10"/>
    <w:rsid w:val="000C4E24"/>
    <w:rsid w:val="000C7A92"/>
    <w:rsid w:val="000D2512"/>
    <w:rsid w:val="000D27C5"/>
    <w:rsid w:val="000D6CE4"/>
    <w:rsid w:val="000E5468"/>
    <w:rsid w:val="000E5496"/>
    <w:rsid w:val="000E6C4D"/>
    <w:rsid w:val="000F1E2B"/>
    <w:rsid w:val="000F2E41"/>
    <w:rsid w:val="000F4F11"/>
    <w:rsid w:val="000F57BA"/>
    <w:rsid w:val="001007D7"/>
    <w:rsid w:val="00100A4B"/>
    <w:rsid w:val="00102022"/>
    <w:rsid w:val="00103337"/>
    <w:rsid w:val="00103A38"/>
    <w:rsid w:val="0010477F"/>
    <w:rsid w:val="00105D06"/>
    <w:rsid w:val="00114630"/>
    <w:rsid w:val="001149AD"/>
    <w:rsid w:val="00115A33"/>
    <w:rsid w:val="00121CCF"/>
    <w:rsid w:val="00126D22"/>
    <w:rsid w:val="00135002"/>
    <w:rsid w:val="00135497"/>
    <w:rsid w:val="00136332"/>
    <w:rsid w:val="00142326"/>
    <w:rsid w:val="00151D1F"/>
    <w:rsid w:val="00155DBD"/>
    <w:rsid w:val="00160FDB"/>
    <w:rsid w:val="00163E43"/>
    <w:rsid w:val="00164EF2"/>
    <w:rsid w:val="00171AE8"/>
    <w:rsid w:val="00173ABC"/>
    <w:rsid w:val="00181E31"/>
    <w:rsid w:val="00184BA3"/>
    <w:rsid w:val="00191021"/>
    <w:rsid w:val="00191B0F"/>
    <w:rsid w:val="00191B4D"/>
    <w:rsid w:val="001938B5"/>
    <w:rsid w:val="00193ACD"/>
    <w:rsid w:val="00195B34"/>
    <w:rsid w:val="001A039E"/>
    <w:rsid w:val="001A22F5"/>
    <w:rsid w:val="001A2306"/>
    <w:rsid w:val="001A4526"/>
    <w:rsid w:val="001B3638"/>
    <w:rsid w:val="001B5DC6"/>
    <w:rsid w:val="001B78C1"/>
    <w:rsid w:val="001C0A3A"/>
    <w:rsid w:val="001C3AAB"/>
    <w:rsid w:val="001C45B3"/>
    <w:rsid w:val="001C7E11"/>
    <w:rsid w:val="001D4435"/>
    <w:rsid w:val="001D55F3"/>
    <w:rsid w:val="001D5C67"/>
    <w:rsid w:val="001D6EDE"/>
    <w:rsid w:val="001D76D5"/>
    <w:rsid w:val="001F00A8"/>
    <w:rsid w:val="001F213C"/>
    <w:rsid w:val="001F4EA7"/>
    <w:rsid w:val="001F5A95"/>
    <w:rsid w:val="00200762"/>
    <w:rsid w:val="002010CF"/>
    <w:rsid w:val="00211C98"/>
    <w:rsid w:val="002131DB"/>
    <w:rsid w:val="00214DA2"/>
    <w:rsid w:val="00215DCA"/>
    <w:rsid w:val="0021707E"/>
    <w:rsid w:val="0022124C"/>
    <w:rsid w:val="0023191E"/>
    <w:rsid w:val="00232A44"/>
    <w:rsid w:val="00233AAB"/>
    <w:rsid w:val="002357C5"/>
    <w:rsid w:val="002364F2"/>
    <w:rsid w:val="00242895"/>
    <w:rsid w:val="00244284"/>
    <w:rsid w:val="0024592F"/>
    <w:rsid w:val="00247250"/>
    <w:rsid w:val="00247795"/>
    <w:rsid w:val="002506F9"/>
    <w:rsid w:val="00251956"/>
    <w:rsid w:val="00252E01"/>
    <w:rsid w:val="00256072"/>
    <w:rsid w:val="0025618A"/>
    <w:rsid w:val="00260390"/>
    <w:rsid w:val="00276B7E"/>
    <w:rsid w:val="002848BB"/>
    <w:rsid w:val="0028589B"/>
    <w:rsid w:val="002921F8"/>
    <w:rsid w:val="002921FC"/>
    <w:rsid w:val="00292F81"/>
    <w:rsid w:val="00296D7E"/>
    <w:rsid w:val="002A1049"/>
    <w:rsid w:val="002B2787"/>
    <w:rsid w:val="002B4923"/>
    <w:rsid w:val="002B5AE2"/>
    <w:rsid w:val="002C0946"/>
    <w:rsid w:val="002C193A"/>
    <w:rsid w:val="002C2BCE"/>
    <w:rsid w:val="002C2DE6"/>
    <w:rsid w:val="002C710D"/>
    <w:rsid w:val="002D431F"/>
    <w:rsid w:val="002D4FFD"/>
    <w:rsid w:val="002D6EC4"/>
    <w:rsid w:val="002E4159"/>
    <w:rsid w:val="002F07E2"/>
    <w:rsid w:val="002F2E87"/>
    <w:rsid w:val="00304A08"/>
    <w:rsid w:val="00304E28"/>
    <w:rsid w:val="00311C41"/>
    <w:rsid w:val="0031519F"/>
    <w:rsid w:val="00325CB7"/>
    <w:rsid w:val="003307F3"/>
    <w:rsid w:val="00333048"/>
    <w:rsid w:val="0033418D"/>
    <w:rsid w:val="003361C7"/>
    <w:rsid w:val="003373A8"/>
    <w:rsid w:val="003414C9"/>
    <w:rsid w:val="00345108"/>
    <w:rsid w:val="00347E7F"/>
    <w:rsid w:val="003555C4"/>
    <w:rsid w:val="00356383"/>
    <w:rsid w:val="0036628D"/>
    <w:rsid w:val="00367C03"/>
    <w:rsid w:val="0037583C"/>
    <w:rsid w:val="00375DDC"/>
    <w:rsid w:val="00380C61"/>
    <w:rsid w:val="00381EC4"/>
    <w:rsid w:val="00390984"/>
    <w:rsid w:val="003941E1"/>
    <w:rsid w:val="003A129C"/>
    <w:rsid w:val="003A2ACE"/>
    <w:rsid w:val="003A4A42"/>
    <w:rsid w:val="003A6E9A"/>
    <w:rsid w:val="003B5A9F"/>
    <w:rsid w:val="003C1C8E"/>
    <w:rsid w:val="003C3C4F"/>
    <w:rsid w:val="003C76C1"/>
    <w:rsid w:val="003D0B2B"/>
    <w:rsid w:val="003D276F"/>
    <w:rsid w:val="003D393E"/>
    <w:rsid w:val="003D4E19"/>
    <w:rsid w:val="003E0F25"/>
    <w:rsid w:val="003F129B"/>
    <w:rsid w:val="003F5049"/>
    <w:rsid w:val="00404130"/>
    <w:rsid w:val="00415DBD"/>
    <w:rsid w:val="0042468A"/>
    <w:rsid w:val="00424983"/>
    <w:rsid w:val="00426A44"/>
    <w:rsid w:val="004335BC"/>
    <w:rsid w:val="0043638B"/>
    <w:rsid w:val="00450DEE"/>
    <w:rsid w:val="004577BA"/>
    <w:rsid w:val="00464852"/>
    <w:rsid w:val="00464F07"/>
    <w:rsid w:val="004670CF"/>
    <w:rsid w:val="00474E35"/>
    <w:rsid w:val="00474F9B"/>
    <w:rsid w:val="00483AF2"/>
    <w:rsid w:val="00484B1A"/>
    <w:rsid w:val="00486A2C"/>
    <w:rsid w:val="00495542"/>
    <w:rsid w:val="00495959"/>
    <w:rsid w:val="004A0C63"/>
    <w:rsid w:val="004A4299"/>
    <w:rsid w:val="004B26F0"/>
    <w:rsid w:val="004B777A"/>
    <w:rsid w:val="004C58F1"/>
    <w:rsid w:val="004D1E60"/>
    <w:rsid w:val="004D219A"/>
    <w:rsid w:val="004D58EE"/>
    <w:rsid w:val="004D5CFE"/>
    <w:rsid w:val="004E52DF"/>
    <w:rsid w:val="004E71CB"/>
    <w:rsid w:val="004F3478"/>
    <w:rsid w:val="00500971"/>
    <w:rsid w:val="0050711E"/>
    <w:rsid w:val="00517048"/>
    <w:rsid w:val="005229FF"/>
    <w:rsid w:val="005255AD"/>
    <w:rsid w:val="0053324A"/>
    <w:rsid w:val="00541427"/>
    <w:rsid w:val="005427A1"/>
    <w:rsid w:val="0054732A"/>
    <w:rsid w:val="00547ED7"/>
    <w:rsid w:val="005514E0"/>
    <w:rsid w:val="005517D9"/>
    <w:rsid w:val="00552008"/>
    <w:rsid w:val="00553A8B"/>
    <w:rsid w:val="005548A0"/>
    <w:rsid w:val="00560AFB"/>
    <w:rsid w:val="0056188E"/>
    <w:rsid w:val="005636DE"/>
    <w:rsid w:val="005716FC"/>
    <w:rsid w:val="00577FFD"/>
    <w:rsid w:val="0058184E"/>
    <w:rsid w:val="00583620"/>
    <w:rsid w:val="005874FB"/>
    <w:rsid w:val="00592BCF"/>
    <w:rsid w:val="00595066"/>
    <w:rsid w:val="005A6553"/>
    <w:rsid w:val="005B2E5A"/>
    <w:rsid w:val="005B5EE1"/>
    <w:rsid w:val="005B7FF9"/>
    <w:rsid w:val="005C40F9"/>
    <w:rsid w:val="005C55ED"/>
    <w:rsid w:val="005C7889"/>
    <w:rsid w:val="005D64AC"/>
    <w:rsid w:val="005D752A"/>
    <w:rsid w:val="005E243F"/>
    <w:rsid w:val="005E5153"/>
    <w:rsid w:val="005E6137"/>
    <w:rsid w:val="0060675E"/>
    <w:rsid w:val="00610176"/>
    <w:rsid w:val="006103C6"/>
    <w:rsid w:val="00611206"/>
    <w:rsid w:val="00615BD7"/>
    <w:rsid w:val="006161EA"/>
    <w:rsid w:val="00624039"/>
    <w:rsid w:val="00626128"/>
    <w:rsid w:val="00632441"/>
    <w:rsid w:val="0063292E"/>
    <w:rsid w:val="00634400"/>
    <w:rsid w:val="00640237"/>
    <w:rsid w:val="00640980"/>
    <w:rsid w:val="00641739"/>
    <w:rsid w:val="006423F7"/>
    <w:rsid w:val="00646F14"/>
    <w:rsid w:val="00656E2B"/>
    <w:rsid w:val="00656FEA"/>
    <w:rsid w:val="00662222"/>
    <w:rsid w:val="0066257C"/>
    <w:rsid w:val="006668D2"/>
    <w:rsid w:val="00670DD5"/>
    <w:rsid w:val="00677421"/>
    <w:rsid w:val="006866DB"/>
    <w:rsid w:val="0069201E"/>
    <w:rsid w:val="006A1DB2"/>
    <w:rsid w:val="006B235C"/>
    <w:rsid w:val="006B6B07"/>
    <w:rsid w:val="006B7CD7"/>
    <w:rsid w:val="006C015E"/>
    <w:rsid w:val="006C1A20"/>
    <w:rsid w:val="006C64A3"/>
    <w:rsid w:val="006D1D9F"/>
    <w:rsid w:val="006E5F6F"/>
    <w:rsid w:val="006E7114"/>
    <w:rsid w:val="006E793A"/>
    <w:rsid w:val="006F4CE4"/>
    <w:rsid w:val="006F6DFA"/>
    <w:rsid w:val="00700D1A"/>
    <w:rsid w:val="00703F5C"/>
    <w:rsid w:val="00725785"/>
    <w:rsid w:val="00733185"/>
    <w:rsid w:val="00733520"/>
    <w:rsid w:val="007417A8"/>
    <w:rsid w:val="00742089"/>
    <w:rsid w:val="007461F3"/>
    <w:rsid w:val="00747BE1"/>
    <w:rsid w:val="00750960"/>
    <w:rsid w:val="00752398"/>
    <w:rsid w:val="007607B3"/>
    <w:rsid w:val="00763D27"/>
    <w:rsid w:val="007739E9"/>
    <w:rsid w:val="007747A9"/>
    <w:rsid w:val="00786246"/>
    <w:rsid w:val="00786B10"/>
    <w:rsid w:val="00786DC9"/>
    <w:rsid w:val="0079395A"/>
    <w:rsid w:val="007961B1"/>
    <w:rsid w:val="007A0C78"/>
    <w:rsid w:val="007A275A"/>
    <w:rsid w:val="007A47CB"/>
    <w:rsid w:val="007B309E"/>
    <w:rsid w:val="007B541E"/>
    <w:rsid w:val="007B74BA"/>
    <w:rsid w:val="007D20EB"/>
    <w:rsid w:val="007E29D0"/>
    <w:rsid w:val="007E6D4E"/>
    <w:rsid w:val="007F1071"/>
    <w:rsid w:val="007F748D"/>
    <w:rsid w:val="0080043C"/>
    <w:rsid w:val="00800684"/>
    <w:rsid w:val="00801410"/>
    <w:rsid w:val="00804A75"/>
    <w:rsid w:val="008110AF"/>
    <w:rsid w:val="008128DA"/>
    <w:rsid w:val="008132B3"/>
    <w:rsid w:val="00815E81"/>
    <w:rsid w:val="00817B60"/>
    <w:rsid w:val="00821D45"/>
    <w:rsid w:val="008239EE"/>
    <w:rsid w:val="00833B7A"/>
    <w:rsid w:val="00850066"/>
    <w:rsid w:val="008514EE"/>
    <w:rsid w:val="00853600"/>
    <w:rsid w:val="00855981"/>
    <w:rsid w:val="00862314"/>
    <w:rsid w:val="00862F80"/>
    <w:rsid w:val="00863E50"/>
    <w:rsid w:val="00865A17"/>
    <w:rsid w:val="00880EBD"/>
    <w:rsid w:val="008816C4"/>
    <w:rsid w:val="00886CE2"/>
    <w:rsid w:val="00891373"/>
    <w:rsid w:val="00891E2F"/>
    <w:rsid w:val="008B2E53"/>
    <w:rsid w:val="008B51BD"/>
    <w:rsid w:val="008C1CBA"/>
    <w:rsid w:val="008C35F3"/>
    <w:rsid w:val="008D5FC7"/>
    <w:rsid w:val="008D614E"/>
    <w:rsid w:val="008E0405"/>
    <w:rsid w:val="008E087F"/>
    <w:rsid w:val="008E45D9"/>
    <w:rsid w:val="008E5536"/>
    <w:rsid w:val="008E5791"/>
    <w:rsid w:val="008F1701"/>
    <w:rsid w:val="008F733E"/>
    <w:rsid w:val="00917052"/>
    <w:rsid w:val="009209BE"/>
    <w:rsid w:val="00920F0F"/>
    <w:rsid w:val="00922744"/>
    <w:rsid w:val="00923730"/>
    <w:rsid w:val="0092458B"/>
    <w:rsid w:val="00941DC9"/>
    <w:rsid w:val="0095024B"/>
    <w:rsid w:val="00950A24"/>
    <w:rsid w:val="00951F45"/>
    <w:rsid w:val="009553C8"/>
    <w:rsid w:val="00955D97"/>
    <w:rsid w:val="009766E3"/>
    <w:rsid w:val="00977CA7"/>
    <w:rsid w:val="00985220"/>
    <w:rsid w:val="009868B0"/>
    <w:rsid w:val="00987EC5"/>
    <w:rsid w:val="00993961"/>
    <w:rsid w:val="009976B9"/>
    <w:rsid w:val="009A1877"/>
    <w:rsid w:val="009A64DA"/>
    <w:rsid w:val="009B01BC"/>
    <w:rsid w:val="009B0CD4"/>
    <w:rsid w:val="009B1788"/>
    <w:rsid w:val="009B41DA"/>
    <w:rsid w:val="009B4DA4"/>
    <w:rsid w:val="009C1E72"/>
    <w:rsid w:val="009C66EB"/>
    <w:rsid w:val="009C7C3B"/>
    <w:rsid w:val="009D63AB"/>
    <w:rsid w:val="009D7162"/>
    <w:rsid w:val="009E1514"/>
    <w:rsid w:val="009E1571"/>
    <w:rsid w:val="009E448E"/>
    <w:rsid w:val="009E662C"/>
    <w:rsid w:val="009E6C44"/>
    <w:rsid w:val="009F1796"/>
    <w:rsid w:val="009F3898"/>
    <w:rsid w:val="009F57A2"/>
    <w:rsid w:val="00A10AF3"/>
    <w:rsid w:val="00A10E32"/>
    <w:rsid w:val="00A11BFB"/>
    <w:rsid w:val="00A12658"/>
    <w:rsid w:val="00A12BFB"/>
    <w:rsid w:val="00A14E36"/>
    <w:rsid w:val="00A154CC"/>
    <w:rsid w:val="00A21FFE"/>
    <w:rsid w:val="00A22212"/>
    <w:rsid w:val="00A27FB2"/>
    <w:rsid w:val="00A35246"/>
    <w:rsid w:val="00A44B8B"/>
    <w:rsid w:val="00A53438"/>
    <w:rsid w:val="00A56103"/>
    <w:rsid w:val="00A6191D"/>
    <w:rsid w:val="00A62636"/>
    <w:rsid w:val="00A75AF6"/>
    <w:rsid w:val="00A94E06"/>
    <w:rsid w:val="00AA4DBC"/>
    <w:rsid w:val="00AA5934"/>
    <w:rsid w:val="00AC284A"/>
    <w:rsid w:val="00AC32B5"/>
    <w:rsid w:val="00AC541D"/>
    <w:rsid w:val="00AD0670"/>
    <w:rsid w:val="00AD37B5"/>
    <w:rsid w:val="00AD71FB"/>
    <w:rsid w:val="00AE496E"/>
    <w:rsid w:val="00B030B2"/>
    <w:rsid w:val="00B2172F"/>
    <w:rsid w:val="00B321BA"/>
    <w:rsid w:val="00B44235"/>
    <w:rsid w:val="00B51E93"/>
    <w:rsid w:val="00B66A71"/>
    <w:rsid w:val="00B727AC"/>
    <w:rsid w:val="00B76CD8"/>
    <w:rsid w:val="00B776B8"/>
    <w:rsid w:val="00B811FF"/>
    <w:rsid w:val="00B9434A"/>
    <w:rsid w:val="00B94553"/>
    <w:rsid w:val="00BA1CC0"/>
    <w:rsid w:val="00BA4C0A"/>
    <w:rsid w:val="00BB1715"/>
    <w:rsid w:val="00BB2530"/>
    <w:rsid w:val="00BB4B2C"/>
    <w:rsid w:val="00BB674E"/>
    <w:rsid w:val="00BC23D1"/>
    <w:rsid w:val="00BC6E83"/>
    <w:rsid w:val="00BD46D5"/>
    <w:rsid w:val="00BD672B"/>
    <w:rsid w:val="00BE22B3"/>
    <w:rsid w:val="00BF1B4D"/>
    <w:rsid w:val="00BF2C19"/>
    <w:rsid w:val="00BF405E"/>
    <w:rsid w:val="00BF543A"/>
    <w:rsid w:val="00C00C40"/>
    <w:rsid w:val="00C0684E"/>
    <w:rsid w:val="00C12E99"/>
    <w:rsid w:val="00C15B16"/>
    <w:rsid w:val="00C162E9"/>
    <w:rsid w:val="00C20743"/>
    <w:rsid w:val="00C228BC"/>
    <w:rsid w:val="00C22F77"/>
    <w:rsid w:val="00C24581"/>
    <w:rsid w:val="00C25164"/>
    <w:rsid w:val="00C257ED"/>
    <w:rsid w:val="00C31456"/>
    <w:rsid w:val="00C3170E"/>
    <w:rsid w:val="00C3234E"/>
    <w:rsid w:val="00C32C0A"/>
    <w:rsid w:val="00C3748A"/>
    <w:rsid w:val="00C42590"/>
    <w:rsid w:val="00C4396A"/>
    <w:rsid w:val="00C44189"/>
    <w:rsid w:val="00C469A4"/>
    <w:rsid w:val="00C47896"/>
    <w:rsid w:val="00C5607A"/>
    <w:rsid w:val="00C56F22"/>
    <w:rsid w:val="00C702CA"/>
    <w:rsid w:val="00C71335"/>
    <w:rsid w:val="00C73C8B"/>
    <w:rsid w:val="00C74119"/>
    <w:rsid w:val="00C74128"/>
    <w:rsid w:val="00C750C6"/>
    <w:rsid w:val="00C77FC6"/>
    <w:rsid w:val="00C80489"/>
    <w:rsid w:val="00C82360"/>
    <w:rsid w:val="00C82FDA"/>
    <w:rsid w:val="00C870AA"/>
    <w:rsid w:val="00C9190A"/>
    <w:rsid w:val="00C973AD"/>
    <w:rsid w:val="00CA4AD9"/>
    <w:rsid w:val="00CC5C93"/>
    <w:rsid w:val="00CC6749"/>
    <w:rsid w:val="00CC7BDB"/>
    <w:rsid w:val="00CD5480"/>
    <w:rsid w:val="00CE0D66"/>
    <w:rsid w:val="00CE4869"/>
    <w:rsid w:val="00CE57C0"/>
    <w:rsid w:val="00CE6763"/>
    <w:rsid w:val="00CF514E"/>
    <w:rsid w:val="00D04CE9"/>
    <w:rsid w:val="00D14EE1"/>
    <w:rsid w:val="00D1500D"/>
    <w:rsid w:val="00D223AC"/>
    <w:rsid w:val="00D30C22"/>
    <w:rsid w:val="00D31903"/>
    <w:rsid w:val="00D37882"/>
    <w:rsid w:val="00D412D5"/>
    <w:rsid w:val="00D4153A"/>
    <w:rsid w:val="00D436EC"/>
    <w:rsid w:val="00D507C5"/>
    <w:rsid w:val="00D52211"/>
    <w:rsid w:val="00D56034"/>
    <w:rsid w:val="00D80EA8"/>
    <w:rsid w:val="00D817FE"/>
    <w:rsid w:val="00D83D25"/>
    <w:rsid w:val="00D86264"/>
    <w:rsid w:val="00D907D2"/>
    <w:rsid w:val="00D91301"/>
    <w:rsid w:val="00D93D79"/>
    <w:rsid w:val="00D93F24"/>
    <w:rsid w:val="00D94602"/>
    <w:rsid w:val="00D96B04"/>
    <w:rsid w:val="00DA2469"/>
    <w:rsid w:val="00DA4F45"/>
    <w:rsid w:val="00DB0030"/>
    <w:rsid w:val="00DB0998"/>
    <w:rsid w:val="00DB11B1"/>
    <w:rsid w:val="00DB1266"/>
    <w:rsid w:val="00DB4178"/>
    <w:rsid w:val="00DB48F7"/>
    <w:rsid w:val="00DB6016"/>
    <w:rsid w:val="00DB7577"/>
    <w:rsid w:val="00DC0D8D"/>
    <w:rsid w:val="00DC1516"/>
    <w:rsid w:val="00DC17D7"/>
    <w:rsid w:val="00DC4FEE"/>
    <w:rsid w:val="00DC5BCB"/>
    <w:rsid w:val="00DC7DDD"/>
    <w:rsid w:val="00DD3613"/>
    <w:rsid w:val="00DE0DEA"/>
    <w:rsid w:val="00DE2D85"/>
    <w:rsid w:val="00DE3573"/>
    <w:rsid w:val="00DE725A"/>
    <w:rsid w:val="00DE7832"/>
    <w:rsid w:val="00DF0EA6"/>
    <w:rsid w:val="00DF291B"/>
    <w:rsid w:val="00E06E7C"/>
    <w:rsid w:val="00E203B1"/>
    <w:rsid w:val="00E20606"/>
    <w:rsid w:val="00E26226"/>
    <w:rsid w:val="00E26540"/>
    <w:rsid w:val="00E315E7"/>
    <w:rsid w:val="00E31741"/>
    <w:rsid w:val="00E31E26"/>
    <w:rsid w:val="00E3703C"/>
    <w:rsid w:val="00E51CFC"/>
    <w:rsid w:val="00E52142"/>
    <w:rsid w:val="00E5373F"/>
    <w:rsid w:val="00E62386"/>
    <w:rsid w:val="00E62DC8"/>
    <w:rsid w:val="00E647AA"/>
    <w:rsid w:val="00E70B1F"/>
    <w:rsid w:val="00E70C16"/>
    <w:rsid w:val="00EA21B5"/>
    <w:rsid w:val="00EB06D1"/>
    <w:rsid w:val="00EB458D"/>
    <w:rsid w:val="00EB6137"/>
    <w:rsid w:val="00EC1566"/>
    <w:rsid w:val="00EC5547"/>
    <w:rsid w:val="00ED36B1"/>
    <w:rsid w:val="00EE2322"/>
    <w:rsid w:val="00EF5EDF"/>
    <w:rsid w:val="00EF6F93"/>
    <w:rsid w:val="00EF7290"/>
    <w:rsid w:val="00F040FD"/>
    <w:rsid w:val="00F042B7"/>
    <w:rsid w:val="00F0442A"/>
    <w:rsid w:val="00F24953"/>
    <w:rsid w:val="00F379D9"/>
    <w:rsid w:val="00F4245C"/>
    <w:rsid w:val="00F47AA0"/>
    <w:rsid w:val="00F53AF4"/>
    <w:rsid w:val="00F541F9"/>
    <w:rsid w:val="00F561B4"/>
    <w:rsid w:val="00F56A3B"/>
    <w:rsid w:val="00F61A1B"/>
    <w:rsid w:val="00F661B1"/>
    <w:rsid w:val="00F663B7"/>
    <w:rsid w:val="00F71B5A"/>
    <w:rsid w:val="00F76AD5"/>
    <w:rsid w:val="00F76FCA"/>
    <w:rsid w:val="00F805F3"/>
    <w:rsid w:val="00F81F54"/>
    <w:rsid w:val="00F87352"/>
    <w:rsid w:val="00F90BA9"/>
    <w:rsid w:val="00F95A8A"/>
    <w:rsid w:val="00FA04BE"/>
    <w:rsid w:val="00FA1295"/>
    <w:rsid w:val="00FA3642"/>
    <w:rsid w:val="00FB00E4"/>
    <w:rsid w:val="00FB77D7"/>
    <w:rsid w:val="00FC184A"/>
    <w:rsid w:val="00FE0476"/>
    <w:rsid w:val="00FE6525"/>
    <w:rsid w:val="00FF1EAF"/>
    <w:rsid w:val="00FF5F55"/>
    <w:rsid w:val="0C154187"/>
    <w:rsid w:val="4EDEAD2B"/>
    <w:rsid w:val="776FE406"/>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uiPriority w:val="99"/>
    <w:pPr>
      <w:ind w:firstLine="420" w:firstLineChars="200"/>
    </w:pPr>
  </w:style>
  <w:style w:type="paragraph" w:customStyle="1" w:styleId="555">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556">
    <w:name w:val="NormalCharacter"/>
    <w:qFormat/>
    <w:uiPriority w:val="0"/>
    <w:rPr>
      <w:kern w:val="2"/>
      <w:sz w:val="21"/>
      <w:lang w:val="en-US" w:eastAsia="zh-CN"/>
    </w:rPr>
  </w:style>
  <w:style w:type="paragraph" w:customStyle="1" w:styleId="55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48F5-8F6D-499D-AAF9-A6BBC9D2BFF5}">
  <ds:schemaRefs/>
</ds:datastoreItem>
</file>

<file path=docProps/app.xml><?xml version="1.0" encoding="utf-8"?>
<Properties xmlns="http://schemas.openxmlformats.org/officeDocument/2006/extended-properties" xmlns:vt="http://schemas.openxmlformats.org/officeDocument/2006/docPropsVTypes">
  <Template>Normal</Template>
  <Pages>31</Pages>
  <Words>13370</Words>
  <Characters>13981</Characters>
  <Lines>114</Lines>
  <Paragraphs>32</Paragraphs>
  <TotalTime>80</TotalTime>
  <ScaleCrop>false</ScaleCrop>
  <LinksUpToDate>false</LinksUpToDate>
  <CharactersWithSpaces>14885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2025-11-21T06:29:00Z</dcterms:created>
  <dc:creator>张 屹</dc:creator>
  <cp:lastModifiedBy>六六</cp:lastModifiedBy>
  <cp:lastPrinted>2023-03-04T14:19:00Z</cp:lastPrinted>
  <dcterms:modified xsi:type="dcterms:W3CDTF">2025-12-16T06:03:34Z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6DE313E0F67B4C6E8703F051A1D2DB16_13</vt:lpwstr>
  </property>
</Properties>
</file>