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11F4">
      <w:pPr>
        <w:spacing w:line="360" w:lineRule="auto"/>
        <w:ind w:firstLine="560"/>
        <w:rPr>
          <w:rFonts w:hint="eastAsia" w:ascii="宋体" w:hAnsi="宋体" w:cs="宋体"/>
          <w:sz w:val="28"/>
          <w:szCs w:val="28"/>
        </w:rPr>
      </w:pPr>
      <w:bookmarkStart w:id="759" w:name="_GoBack"/>
      <w:bookmarkEnd w:id="759"/>
    </w:p>
    <w:p w14:paraId="170FB3E1">
      <w:pPr>
        <w:spacing w:line="360" w:lineRule="auto"/>
        <w:ind w:firstLine="560"/>
        <w:rPr>
          <w:rFonts w:hint="eastAsia" w:ascii="宋体" w:hAnsi="宋体" w:cs="宋体"/>
          <w:sz w:val="28"/>
          <w:szCs w:val="28"/>
        </w:rPr>
      </w:pPr>
    </w:p>
    <w:p w14:paraId="21EC1003">
      <w:pPr>
        <w:spacing w:line="360" w:lineRule="auto"/>
        <w:ind w:firstLine="560"/>
        <w:rPr>
          <w:rFonts w:hint="eastAsia" w:ascii="宋体" w:hAnsi="宋体" w:cs="宋体"/>
          <w:b/>
          <w:sz w:val="36"/>
          <w:szCs w:val="36"/>
          <w:u w:val="single"/>
        </w:rPr>
      </w:pPr>
    </w:p>
    <w:p w14:paraId="782F05D9">
      <w:pPr>
        <w:spacing w:line="360" w:lineRule="auto"/>
        <w:jc w:val="center"/>
        <w:rPr>
          <w:rFonts w:hint="eastAsia" w:ascii="宋体" w:hAnsi="宋体" w:cs="宋体"/>
          <w:b/>
          <w:sz w:val="36"/>
          <w:szCs w:val="36"/>
          <w:u w:val="single"/>
        </w:rPr>
      </w:pPr>
      <w:r>
        <w:rPr>
          <w:rFonts w:hint="eastAsia" w:ascii="宋体" w:hAnsi="宋体" w:cs="宋体"/>
          <w:b/>
          <w:sz w:val="36"/>
          <w:szCs w:val="36"/>
        </w:rPr>
        <w:t>南京审计大学金审学院西门快递驿站工程</w:t>
      </w:r>
    </w:p>
    <w:p w14:paraId="3F004FF7">
      <w:pPr>
        <w:jc w:val="center"/>
        <w:rPr>
          <w:rFonts w:hint="eastAsia" w:ascii="宋体" w:hAnsi="宋体"/>
          <w:b/>
          <w:sz w:val="32"/>
          <w:szCs w:val="32"/>
        </w:rPr>
      </w:pPr>
    </w:p>
    <w:p w14:paraId="1C649A23">
      <w:pPr>
        <w:jc w:val="center"/>
        <w:rPr>
          <w:rFonts w:hint="eastAsia" w:ascii="宋体" w:hAnsi="宋体"/>
          <w:b/>
          <w:sz w:val="32"/>
          <w:szCs w:val="32"/>
        </w:rPr>
      </w:pPr>
    </w:p>
    <w:p w14:paraId="12872E37">
      <w:pPr>
        <w:jc w:val="center"/>
        <w:rPr>
          <w:rFonts w:hint="eastAsia" w:ascii="宋体" w:hAnsi="宋体"/>
          <w:b/>
          <w:sz w:val="32"/>
          <w:szCs w:val="32"/>
        </w:rPr>
      </w:pPr>
    </w:p>
    <w:p w14:paraId="3A64F07C">
      <w:pPr>
        <w:jc w:val="center"/>
        <w:rPr>
          <w:rFonts w:hint="eastAsia" w:ascii="宋体" w:hAnsi="宋体"/>
          <w:b/>
          <w:sz w:val="32"/>
          <w:szCs w:val="32"/>
        </w:rPr>
      </w:pPr>
    </w:p>
    <w:p w14:paraId="0A089392">
      <w:pPr>
        <w:jc w:val="center"/>
        <w:rPr>
          <w:rFonts w:hint="eastAsia" w:ascii="宋体" w:hAnsi="宋体" w:cs="宋体"/>
          <w:b/>
          <w:szCs w:val="21"/>
          <w:u w:val="single"/>
        </w:rPr>
      </w:pPr>
    </w:p>
    <w:p w14:paraId="0611FD8B">
      <w:pPr>
        <w:spacing w:after="120" w:line="360" w:lineRule="atLeast"/>
        <w:jc w:val="center"/>
        <w:outlineLvl w:val="0"/>
        <w:rPr>
          <w:rFonts w:hint="eastAsia" w:ascii="宋体" w:hAnsi="宋体" w:cs="宋体"/>
          <w:b/>
          <w:sz w:val="36"/>
          <w:szCs w:val="36"/>
        </w:rPr>
      </w:pPr>
      <w:bookmarkStart w:id="0" w:name="_Toc6915"/>
      <w:r>
        <w:rPr>
          <w:rFonts w:hint="eastAsia" w:ascii="宋体" w:hAnsi="宋体" w:cs="宋体"/>
          <w:b/>
          <w:sz w:val="36"/>
          <w:szCs w:val="36"/>
        </w:rPr>
        <w:t>竞争性谈判文件</w:t>
      </w:r>
      <w:bookmarkEnd w:id="0"/>
    </w:p>
    <w:p w14:paraId="7B386521">
      <w:pPr>
        <w:spacing w:after="120" w:line="360" w:lineRule="atLeast"/>
        <w:jc w:val="center"/>
        <w:rPr>
          <w:rFonts w:hint="eastAsia" w:ascii="宋体" w:hAnsi="宋体" w:cs="宋体"/>
          <w:b/>
          <w:sz w:val="32"/>
          <w:szCs w:val="32"/>
        </w:rPr>
      </w:pPr>
    </w:p>
    <w:p w14:paraId="3D8CA690">
      <w:pPr>
        <w:spacing w:after="120" w:line="360" w:lineRule="atLeast"/>
        <w:jc w:val="center"/>
        <w:rPr>
          <w:rFonts w:hint="eastAsia" w:ascii="宋体" w:hAnsi="宋体" w:cs="宋体"/>
          <w:b/>
          <w:sz w:val="32"/>
          <w:szCs w:val="32"/>
        </w:rPr>
      </w:pPr>
    </w:p>
    <w:p w14:paraId="57DEBAA7">
      <w:pPr>
        <w:spacing w:after="120" w:line="360" w:lineRule="atLeast"/>
        <w:jc w:val="center"/>
        <w:rPr>
          <w:rFonts w:hint="eastAsia" w:ascii="宋体" w:hAnsi="宋体" w:cs="宋体"/>
          <w:b/>
          <w:sz w:val="32"/>
          <w:szCs w:val="32"/>
        </w:rPr>
      </w:pPr>
    </w:p>
    <w:p w14:paraId="16AB786E">
      <w:pPr>
        <w:spacing w:after="120" w:line="360" w:lineRule="atLeast"/>
        <w:jc w:val="center"/>
        <w:rPr>
          <w:rFonts w:hint="eastAsia" w:ascii="宋体" w:hAnsi="宋体" w:cs="宋体"/>
          <w:b/>
          <w:sz w:val="32"/>
          <w:szCs w:val="32"/>
        </w:rPr>
      </w:pPr>
    </w:p>
    <w:p w14:paraId="4B37CCAE">
      <w:pPr>
        <w:spacing w:after="120" w:line="360" w:lineRule="atLeast"/>
        <w:jc w:val="center"/>
        <w:rPr>
          <w:rFonts w:hint="eastAsia" w:ascii="宋体" w:hAnsi="宋体" w:cs="宋体"/>
          <w:b/>
          <w:sz w:val="32"/>
          <w:szCs w:val="32"/>
        </w:rPr>
      </w:pPr>
    </w:p>
    <w:p w14:paraId="36B41C4F">
      <w:pPr>
        <w:spacing w:after="120" w:line="360" w:lineRule="atLeast"/>
        <w:jc w:val="center"/>
        <w:rPr>
          <w:rFonts w:hint="eastAsia" w:ascii="宋体" w:hAnsi="宋体" w:cs="宋体"/>
          <w:b/>
          <w:sz w:val="32"/>
          <w:szCs w:val="32"/>
        </w:rPr>
      </w:pPr>
    </w:p>
    <w:p w14:paraId="36AEC829">
      <w:pPr>
        <w:spacing w:after="120" w:line="360" w:lineRule="atLeast"/>
        <w:jc w:val="center"/>
        <w:rPr>
          <w:rFonts w:hint="eastAsia" w:ascii="宋体" w:hAnsi="宋体" w:cs="宋体"/>
          <w:b/>
          <w:sz w:val="32"/>
          <w:szCs w:val="32"/>
        </w:rPr>
      </w:pPr>
    </w:p>
    <w:p w14:paraId="6A418EFB">
      <w:pPr>
        <w:spacing w:after="120" w:line="360" w:lineRule="atLeast"/>
        <w:jc w:val="center"/>
        <w:rPr>
          <w:rFonts w:hint="eastAsia" w:ascii="宋体" w:hAnsi="宋体" w:cs="宋体"/>
          <w:b/>
          <w:sz w:val="32"/>
          <w:szCs w:val="32"/>
        </w:rPr>
      </w:pPr>
    </w:p>
    <w:p w14:paraId="701714F6">
      <w:pPr>
        <w:spacing w:line="600" w:lineRule="exact"/>
        <w:jc w:val="center"/>
        <w:rPr>
          <w:rFonts w:hint="eastAsia" w:ascii="宋体" w:hAnsi="宋体"/>
          <w:b/>
          <w:sz w:val="24"/>
        </w:rPr>
      </w:pPr>
      <w:r>
        <w:rPr>
          <w:rFonts w:hint="eastAsia" w:ascii="宋体" w:hAnsi="宋体"/>
          <w:b/>
          <w:sz w:val="24"/>
        </w:rPr>
        <w:t>采购</w:t>
      </w:r>
      <w:r>
        <w:rPr>
          <w:rFonts w:ascii="宋体" w:hAnsi="宋体"/>
          <w:b/>
          <w:sz w:val="24"/>
        </w:rPr>
        <w:t>人：</w:t>
      </w:r>
      <w:r>
        <w:rPr>
          <w:rFonts w:hint="eastAsia" w:ascii="宋体" w:hAnsi="宋体"/>
          <w:b/>
          <w:sz w:val="24"/>
        </w:rPr>
        <w:t xml:space="preserve">南京审计大学金审学院       </w:t>
      </w:r>
      <w:r>
        <w:rPr>
          <w:rFonts w:ascii="宋体" w:hAnsi="宋体"/>
          <w:b/>
          <w:sz w:val="24"/>
        </w:rPr>
        <w:t xml:space="preserve">  </w:t>
      </w:r>
    </w:p>
    <w:p w14:paraId="408C2325">
      <w:pPr>
        <w:spacing w:line="600" w:lineRule="exact"/>
        <w:jc w:val="center"/>
        <w:rPr>
          <w:rFonts w:hint="eastAsia" w:ascii="宋体" w:hAnsi="宋体"/>
          <w:b/>
          <w:sz w:val="24"/>
        </w:rPr>
      </w:pPr>
    </w:p>
    <w:p w14:paraId="5B2D0CFE">
      <w:pPr>
        <w:spacing w:line="600" w:lineRule="exact"/>
        <w:jc w:val="center"/>
        <w:rPr>
          <w:rFonts w:hint="eastAsia" w:ascii="宋体" w:hAnsi="宋体"/>
          <w:b/>
          <w:sz w:val="24"/>
        </w:rPr>
      </w:pPr>
      <w:r>
        <w:rPr>
          <w:rFonts w:hint="eastAsia" w:ascii="宋体" w:hAnsi="宋体"/>
          <w:b/>
          <w:sz w:val="24"/>
          <w:u w:val="single"/>
        </w:rPr>
        <w:t xml:space="preserve"> 2025 </w:t>
      </w:r>
      <w:r>
        <w:rPr>
          <w:rFonts w:ascii="宋体" w:hAnsi="宋体"/>
          <w:b/>
          <w:sz w:val="24"/>
        </w:rPr>
        <w:t>年</w:t>
      </w:r>
      <w:r>
        <w:rPr>
          <w:rFonts w:hint="eastAsia" w:ascii="宋体" w:hAnsi="宋体"/>
          <w:b/>
          <w:sz w:val="24"/>
          <w:u w:val="single"/>
        </w:rPr>
        <w:t xml:space="preserve"> 09 </w:t>
      </w:r>
      <w:r>
        <w:rPr>
          <w:rFonts w:ascii="宋体" w:hAnsi="宋体"/>
          <w:b/>
          <w:sz w:val="24"/>
        </w:rPr>
        <w:t>月</w:t>
      </w:r>
    </w:p>
    <w:p w14:paraId="6A586235">
      <w:pPr>
        <w:spacing w:after="120" w:line="360" w:lineRule="atLeast"/>
        <w:rPr>
          <w:rFonts w:hint="eastAsia" w:ascii="宋体" w:hAnsi="宋体" w:cs="宋体"/>
          <w:sz w:val="24"/>
        </w:rPr>
        <w:sectPr>
          <w:headerReference r:id="rId3" w:type="first"/>
          <w:footerReference r:id="rId4" w:type="default"/>
          <w:pgSz w:w="11906" w:h="16838"/>
          <w:pgMar w:top="1440" w:right="1701" w:bottom="1440" w:left="1701" w:header="851" w:footer="992" w:gutter="0"/>
          <w:pgNumType w:start="0"/>
          <w:cols w:space="720" w:num="1"/>
          <w:titlePg/>
          <w:docGrid w:linePitch="360" w:charSpace="0"/>
        </w:sectPr>
      </w:pPr>
    </w:p>
    <w:p w14:paraId="5BBC87B5">
      <w:pPr>
        <w:pStyle w:val="233"/>
        <w:numPr>
          <w:ilvl w:val="0"/>
          <w:numId w:val="2"/>
        </w:numPr>
        <w:spacing w:before="240" w:after="120" w:line="360" w:lineRule="auto"/>
        <w:rPr>
          <w:rFonts w:hint="eastAsia" w:ascii="宋体" w:hAnsi="宋体" w:eastAsia="宋体" w:cs="宋体"/>
          <w:b/>
          <w:bCs w:val="0"/>
          <w:sz w:val="28"/>
          <w:szCs w:val="28"/>
        </w:rPr>
      </w:pPr>
      <w:bookmarkStart w:id="1" w:name="_Toc447188662"/>
      <w:bookmarkStart w:id="2" w:name="_Toc1117"/>
      <w:bookmarkStart w:id="3" w:name="_Toc447265211"/>
      <w:bookmarkStart w:id="4" w:name="_Toc447265497"/>
      <w:bookmarkStart w:id="5" w:name="_Toc447265797"/>
      <w:r>
        <w:rPr>
          <w:rFonts w:hint="eastAsia" w:ascii="宋体" w:hAnsi="宋体" w:eastAsia="宋体" w:cs="宋体"/>
          <w:b/>
          <w:bCs w:val="0"/>
          <w:sz w:val="28"/>
          <w:szCs w:val="28"/>
        </w:rPr>
        <w:t xml:space="preserve"> 竞争性谈判公告</w:t>
      </w:r>
      <w:bookmarkEnd w:id="1"/>
      <w:bookmarkEnd w:id="2"/>
      <w:bookmarkEnd w:id="3"/>
      <w:bookmarkEnd w:id="4"/>
      <w:bookmarkEnd w:id="5"/>
    </w:p>
    <w:p w14:paraId="6AAF1FA4">
      <w:pPr>
        <w:spacing w:line="360" w:lineRule="auto"/>
        <w:ind w:firstLine="420"/>
        <w:rPr>
          <w:rFonts w:hint="eastAsia" w:ascii="宋体" w:hAnsi="宋体"/>
          <w:szCs w:val="21"/>
        </w:rPr>
      </w:pPr>
      <w:r>
        <w:rPr>
          <w:rFonts w:hint="eastAsia" w:ascii="宋体" w:hAnsi="宋体"/>
        </w:rPr>
        <w:t>本项目为</w:t>
      </w:r>
      <w:r>
        <w:rPr>
          <w:rFonts w:hint="eastAsia" w:ascii="宋体" w:hAnsi="宋体"/>
          <w:u w:val="single"/>
        </w:rPr>
        <w:t>南京审计大学金审学院西门快递驿站工程</w:t>
      </w:r>
      <w:r>
        <w:rPr>
          <w:rFonts w:hint="eastAsia" w:ascii="宋体" w:hAnsi="宋体"/>
          <w:szCs w:val="21"/>
        </w:rPr>
        <w:t>，采购人为</w:t>
      </w:r>
      <w:r>
        <w:rPr>
          <w:rFonts w:hint="eastAsia" w:ascii="宋体" w:hAnsi="宋体"/>
          <w:u w:val="single"/>
        </w:rPr>
        <w:t>南京审计大学金审学院</w:t>
      </w:r>
      <w:r>
        <w:rPr>
          <w:rFonts w:hint="eastAsia" w:ascii="宋体" w:hAnsi="宋体"/>
          <w:szCs w:val="21"/>
        </w:rPr>
        <w:t>。项目资金已落实，具备采购条件，现进行公开竞争性谈判，欢迎有意向的且具有提供标的物能力的潜在供应商（以下简称供应商）参加竞争性谈判。</w:t>
      </w:r>
    </w:p>
    <w:p w14:paraId="5B5DBE34">
      <w:pPr>
        <w:pStyle w:val="234"/>
        <w:spacing w:line="340" w:lineRule="exact"/>
        <w:ind w:firstLine="0"/>
        <w:outlineLvl w:val="1"/>
        <w:rPr>
          <w:rFonts w:hint="eastAsia" w:ascii="宋体" w:hAnsi="宋体"/>
          <w:b/>
          <w:szCs w:val="21"/>
        </w:rPr>
      </w:pPr>
      <w:r>
        <w:rPr>
          <w:rFonts w:hint="eastAsia" w:ascii="宋体" w:hAnsi="宋体"/>
          <w:b/>
          <w:szCs w:val="21"/>
        </w:rPr>
        <w:t>一、项目概况与采购内容</w:t>
      </w:r>
    </w:p>
    <w:p w14:paraId="3656B2BF">
      <w:pPr>
        <w:pStyle w:val="234"/>
        <w:numPr>
          <w:ilvl w:val="1"/>
          <w:numId w:val="3"/>
        </w:numPr>
        <w:spacing w:line="360" w:lineRule="auto"/>
        <w:ind w:left="-6" w:firstLine="432"/>
        <w:rPr>
          <w:rFonts w:hint="eastAsia" w:ascii="宋体" w:hAnsi="宋体"/>
          <w:szCs w:val="21"/>
          <w:u w:val="single"/>
        </w:rPr>
      </w:pPr>
      <w:r>
        <w:rPr>
          <w:rFonts w:hint="eastAsia" w:ascii="宋体" w:hAnsi="宋体"/>
          <w:szCs w:val="21"/>
        </w:rPr>
        <w:t>项目概况</w:t>
      </w:r>
      <w:r>
        <w:rPr>
          <w:rFonts w:ascii="宋体" w:hAnsi="宋体"/>
          <w:spacing w:val="2"/>
          <w:szCs w:val="21"/>
        </w:rPr>
        <w:t>:</w:t>
      </w:r>
      <w:r>
        <w:rPr>
          <w:rFonts w:hint="eastAsia"/>
        </w:rPr>
        <w:t xml:space="preserve"> </w:t>
      </w:r>
      <w:r>
        <w:rPr>
          <w:rFonts w:hint="eastAsia" w:ascii="宋体" w:hAnsi="宋体" w:cs="Arial"/>
          <w:szCs w:val="21"/>
        </w:rPr>
        <w:t>南京审计大学金审学院西门快递驿站工程，主要为土方、主体结构、水电安装等，具体详见图纸和工程量清单。</w:t>
      </w:r>
    </w:p>
    <w:p w14:paraId="37142BC5">
      <w:pPr>
        <w:pStyle w:val="234"/>
        <w:numPr>
          <w:ilvl w:val="1"/>
          <w:numId w:val="3"/>
        </w:numPr>
        <w:spacing w:line="360" w:lineRule="auto"/>
        <w:ind w:left="-6" w:firstLine="422"/>
        <w:rPr>
          <w:rFonts w:hint="eastAsia" w:ascii="宋体" w:hAnsi="宋体"/>
          <w:szCs w:val="21"/>
        </w:rPr>
      </w:pPr>
      <w:r>
        <w:rPr>
          <w:rFonts w:hint="eastAsia" w:ascii="宋体" w:hAnsi="宋体" w:cs="Arial"/>
          <w:szCs w:val="21"/>
        </w:rPr>
        <w:t>工程地点：</w:t>
      </w:r>
      <w:r>
        <w:rPr>
          <w:rFonts w:hint="eastAsia"/>
        </w:rPr>
        <w:t>南京审计大学金审学院</w:t>
      </w:r>
    </w:p>
    <w:p w14:paraId="1BDFEB00">
      <w:pPr>
        <w:pStyle w:val="234"/>
        <w:numPr>
          <w:ilvl w:val="1"/>
          <w:numId w:val="3"/>
        </w:numPr>
        <w:spacing w:line="360" w:lineRule="auto"/>
        <w:ind w:left="-6" w:firstLine="424"/>
        <w:rPr>
          <w:rFonts w:hint="eastAsia" w:ascii="宋体" w:hAnsi="宋体"/>
          <w:szCs w:val="21"/>
        </w:rPr>
      </w:pPr>
      <w:r>
        <w:rPr>
          <w:rFonts w:hint="eastAsia" w:ascii="宋体" w:hAnsi="宋体" w:cs="Arial"/>
          <w:szCs w:val="21"/>
        </w:rPr>
        <w:t>承包方式：包工包料</w:t>
      </w:r>
      <w:r>
        <w:rPr>
          <w:rFonts w:hint="eastAsia" w:asciiTheme="minorEastAsia" w:hAnsiTheme="minorEastAsia" w:eastAsiaTheme="minorEastAsia"/>
          <w:szCs w:val="21"/>
        </w:rPr>
        <w:t>。</w:t>
      </w:r>
    </w:p>
    <w:p w14:paraId="78472EF2">
      <w:pPr>
        <w:pStyle w:val="234"/>
        <w:numPr>
          <w:ilvl w:val="1"/>
          <w:numId w:val="3"/>
        </w:numPr>
        <w:spacing w:line="360" w:lineRule="auto"/>
        <w:ind w:left="-6" w:firstLine="424"/>
        <w:rPr>
          <w:rFonts w:hint="eastAsia" w:ascii="宋体" w:hAnsi="宋体"/>
          <w:szCs w:val="21"/>
        </w:rPr>
      </w:pPr>
      <w:r>
        <w:rPr>
          <w:rFonts w:hint="eastAsia" w:ascii="宋体" w:hAnsi="宋体" w:cs="Arial"/>
          <w:szCs w:val="21"/>
        </w:rPr>
        <w:t>工期：</w:t>
      </w:r>
      <w:bookmarkStart w:id="6" w:name="EB6bc20795ffc648ed8fb456d9e49ae641"/>
      <w:bookmarkEnd w:id="6"/>
      <w:r>
        <w:rPr>
          <w:rFonts w:hint="eastAsia" w:ascii="宋体" w:hAnsi="宋体" w:cs="Arial"/>
          <w:szCs w:val="21"/>
        </w:rPr>
        <w:t>30日历天（备注：因该项目招标人须尽早使用，请各投标人根据项目实际状况，并考虑本单位的自身实力（人员、资源等）进行最优最短的施工工期承诺）</w:t>
      </w:r>
    </w:p>
    <w:p w14:paraId="5DE0F2D9">
      <w:pPr>
        <w:pStyle w:val="234"/>
        <w:numPr>
          <w:ilvl w:val="1"/>
          <w:numId w:val="3"/>
        </w:numPr>
        <w:spacing w:line="360" w:lineRule="auto"/>
        <w:ind w:left="-6" w:firstLine="424"/>
        <w:rPr>
          <w:rFonts w:hint="eastAsia" w:ascii="宋体" w:hAnsi="宋体"/>
          <w:szCs w:val="21"/>
          <w:u w:val="single"/>
        </w:rPr>
      </w:pPr>
      <w:r>
        <w:rPr>
          <w:rFonts w:hint="eastAsia" w:ascii="宋体" w:hAnsi="宋体" w:cs="Arial"/>
          <w:szCs w:val="21"/>
        </w:rPr>
        <w:t>质保期：5年</w:t>
      </w:r>
    </w:p>
    <w:p w14:paraId="19D14F44">
      <w:pPr>
        <w:pStyle w:val="234"/>
        <w:numPr>
          <w:ilvl w:val="1"/>
          <w:numId w:val="3"/>
        </w:numPr>
        <w:spacing w:line="360" w:lineRule="auto"/>
        <w:ind w:left="-6" w:firstLine="422"/>
        <w:rPr>
          <w:rFonts w:hint="eastAsia" w:ascii="宋体" w:hAnsi="宋体" w:cs="Arial"/>
          <w:szCs w:val="21"/>
          <w:u w:val="single"/>
        </w:rPr>
      </w:pPr>
      <w:r>
        <w:rPr>
          <w:rFonts w:hint="eastAsia" w:ascii="宋体" w:hAnsi="宋体" w:cs="Arial"/>
          <w:szCs w:val="21"/>
        </w:rPr>
        <w:t>工程质</w:t>
      </w:r>
      <w:r>
        <w:rPr>
          <w:rFonts w:hint="eastAsia" w:ascii="宋体" w:hAnsi="宋体" w:cs="Arial"/>
          <w:szCs w:val="21"/>
          <w:u w:val="single"/>
        </w:rPr>
        <w:t>量</w:t>
      </w:r>
      <w:r>
        <w:rPr>
          <w:rFonts w:hint="eastAsia" w:ascii="宋体" w:hAnsi="宋体" w:cs="Arial"/>
          <w:szCs w:val="21"/>
        </w:rPr>
        <w:t>要求：合格（符合国家验收标准）</w:t>
      </w:r>
    </w:p>
    <w:p w14:paraId="0DDAB4C7">
      <w:pPr>
        <w:pStyle w:val="15"/>
        <w:spacing w:line="360" w:lineRule="auto"/>
        <w:ind w:firstLine="420"/>
        <w:rPr>
          <w:rFonts w:hint="eastAsia" w:ascii="宋体" w:hAnsi="宋体" w:cs="Arial"/>
          <w:szCs w:val="21"/>
          <w:u w:val="single"/>
        </w:rPr>
      </w:pPr>
      <w:r>
        <w:rPr>
          <w:rFonts w:hint="eastAsia" w:ascii="宋体" w:hAnsi="宋体" w:cs="Arial"/>
          <w:szCs w:val="21"/>
        </w:rPr>
        <w:t>1.7 本工程采购范围：工程量清单范围内所有工程内容</w:t>
      </w:r>
    </w:p>
    <w:p w14:paraId="1A55FE4D">
      <w:pPr>
        <w:pStyle w:val="15"/>
        <w:spacing w:line="360" w:lineRule="auto"/>
        <w:ind w:firstLine="420"/>
        <w:rPr>
          <w:rFonts w:hint="eastAsia" w:ascii="宋体" w:hAnsi="宋体" w:cs="Arial"/>
          <w:szCs w:val="21"/>
        </w:rPr>
      </w:pPr>
      <w:r>
        <w:rPr>
          <w:rFonts w:hint="eastAsia" w:ascii="宋体" w:hAnsi="宋体" w:cs="Arial"/>
          <w:szCs w:val="21"/>
        </w:rPr>
        <w:t>1.8 最高限价：</w:t>
      </w:r>
      <w:r>
        <w:rPr>
          <w:rFonts w:ascii="宋体" w:hAnsi="宋体" w:cs="Arial"/>
          <w:szCs w:val="21"/>
        </w:rPr>
        <w:t>1209890.84</w:t>
      </w:r>
      <w:r>
        <w:rPr>
          <w:rFonts w:hint="eastAsia" w:ascii="宋体" w:hAnsi="宋体" w:cs="Arial"/>
          <w:szCs w:val="21"/>
        </w:rPr>
        <w:t>元含税，报价超过最高响应限价的均按无效响应处理。</w:t>
      </w:r>
    </w:p>
    <w:p w14:paraId="700998CD">
      <w:pPr>
        <w:pStyle w:val="234"/>
        <w:spacing w:line="340" w:lineRule="exact"/>
        <w:ind w:firstLine="0"/>
        <w:outlineLvl w:val="1"/>
        <w:rPr>
          <w:rFonts w:hint="eastAsia" w:ascii="宋体" w:hAnsi="宋体"/>
          <w:b/>
          <w:szCs w:val="21"/>
        </w:rPr>
      </w:pPr>
      <w:bookmarkStart w:id="7" w:name="_Toc184704555"/>
      <w:bookmarkStart w:id="8" w:name="_Toc319769473"/>
      <w:bookmarkStart w:id="9" w:name="_Toc319394714"/>
      <w:r>
        <w:rPr>
          <w:rFonts w:hint="eastAsia" w:ascii="宋体" w:hAnsi="宋体"/>
          <w:b/>
          <w:szCs w:val="21"/>
        </w:rPr>
        <w:t>二、供应商资格要求</w:t>
      </w:r>
      <w:bookmarkEnd w:id="7"/>
      <w:bookmarkEnd w:id="8"/>
      <w:bookmarkEnd w:id="9"/>
    </w:p>
    <w:p w14:paraId="3B37DF98">
      <w:pPr>
        <w:spacing w:line="360" w:lineRule="auto"/>
        <w:ind w:firstLine="422"/>
        <w:rPr>
          <w:rFonts w:hint="eastAsia" w:ascii="宋体" w:hAnsi="宋体"/>
          <w:b/>
          <w:bCs/>
          <w:szCs w:val="21"/>
        </w:rPr>
      </w:pPr>
      <w:bookmarkStart w:id="10" w:name="EBd6da60cab7b848f190829144ffdad611"/>
      <w:r>
        <w:rPr>
          <w:rFonts w:ascii="宋体" w:hAnsi="宋体"/>
          <w:b/>
          <w:bCs/>
          <w:szCs w:val="21"/>
        </w:rPr>
        <w:t>2.1</w:t>
      </w:r>
      <w:r>
        <w:rPr>
          <w:rFonts w:hint="eastAsia" w:ascii="宋体" w:hAnsi="宋体"/>
          <w:b/>
          <w:bCs/>
          <w:szCs w:val="21"/>
        </w:rPr>
        <w:t>满足以下资格条件要求：:</w:t>
      </w:r>
    </w:p>
    <w:p w14:paraId="69898C14">
      <w:pPr>
        <w:spacing w:line="360" w:lineRule="auto"/>
        <w:ind w:firstLine="420"/>
        <w:rPr>
          <w:rFonts w:hint="eastAsia" w:ascii="宋体" w:hAnsi="宋体"/>
          <w:szCs w:val="21"/>
        </w:rPr>
      </w:pPr>
      <w:r>
        <w:rPr>
          <w:rFonts w:ascii="宋体" w:hAnsi="宋体"/>
          <w:szCs w:val="21"/>
        </w:rPr>
        <w:t>2.1.1</w:t>
      </w:r>
      <w:r>
        <w:rPr>
          <w:rFonts w:hint="eastAsia" w:ascii="宋体" w:hAnsi="宋体"/>
          <w:szCs w:val="21"/>
        </w:rPr>
        <w:t>具有独立法人资格（持有效的营业执照，具有独立订立合同的能力）</w:t>
      </w:r>
      <w:r>
        <w:rPr>
          <w:rFonts w:hint="eastAsia" w:ascii="宋体" w:hAnsi="宋体"/>
          <w:b/>
          <w:bCs/>
          <w:szCs w:val="21"/>
        </w:rPr>
        <w:t>；</w:t>
      </w:r>
    </w:p>
    <w:p w14:paraId="5CCFCE81">
      <w:pPr>
        <w:spacing w:line="360" w:lineRule="auto"/>
        <w:ind w:firstLine="420"/>
        <w:rPr>
          <w:rFonts w:hint="eastAsia" w:ascii="宋体" w:hAnsi="宋体"/>
          <w:b/>
          <w:bCs/>
          <w:szCs w:val="21"/>
        </w:rPr>
      </w:pPr>
      <w:r>
        <w:rPr>
          <w:rFonts w:ascii="宋体" w:hAnsi="宋体"/>
          <w:szCs w:val="21"/>
        </w:rPr>
        <w:t>2.1.2</w:t>
      </w:r>
      <w:r>
        <w:rPr>
          <w:rFonts w:hint="eastAsia" w:ascii="宋体" w:hAnsi="宋体"/>
          <w:szCs w:val="21"/>
        </w:rPr>
        <w:t>具有良好的商业信誉和健全的财务会计制度(提供2025年3月-2025年8月内任意一月份的财务状况报告（至少包括资产负债表或利润表）（法人或者其他组织成立未满三个月的可以不提供），或其银行出具的资信证书（复印件）（2025年3月-2025年8月内），或上一年度经审计的财务报告复印件加盖公章)</w:t>
      </w:r>
      <w:r>
        <w:rPr>
          <w:rFonts w:hint="eastAsia" w:ascii="宋体" w:hAnsi="宋体"/>
          <w:b/>
          <w:bCs/>
          <w:szCs w:val="21"/>
        </w:rPr>
        <w:t>;</w:t>
      </w:r>
    </w:p>
    <w:p w14:paraId="2B3212A4">
      <w:pPr>
        <w:spacing w:line="360" w:lineRule="auto"/>
        <w:ind w:firstLine="420"/>
        <w:rPr>
          <w:rFonts w:hint="eastAsia" w:ascii="宋体" w:hAnsi="宋体"/>
          <w:szCs w:val="21"/>
        </w:rPr>
      </w:pPr>
      <w:r>
        <w:rPr>
          <w:rFonts w:ascii="宋体" w:hAnsi="宋体"/>
          <w:szCs w:val="21"/>
        </w:rPr>
        <w:t>2.1.3</w:t>
      </w:r>
      <w:r>
        <w:rPr>
          <w:rFonts w:hint="eastAsia" w:ascii="宋体" w:hAnsi="宋体"/>
          <w:szCs w:val="21"/>
        </w:rPr>
        <w:t>具备履行合同所必需的设备和专业技术能力(提供声明函);</w:t>
      </w:r>
    </w:p>
    <w:p w14:paraId="3B01E702">
      <w:pPr>
        <w:spacing w:line="360" w:lineRule="auto"/>
        <w:ind w:firstLine="420"/>
        <w:rPr>
          <w:rFonts w:hint="eastAsia" w:ascii="宋体" w:hAnsi="宋体"/>
          <w:b/>
          <w:bCs/>
          <w:szCs w:val="21"/>
        </w:rPr>
      </w:pPr>
      <w:r>
        <w:rPr>
          <w:rFonts w:ascii="宋体" w:hAnsi="宋体"/>
          <w:szCs w:val="21"/>
        </w:rPr>
        <w:t>2.1.4</w:t>
      </w:r>
      <w:r>
        <w:rPr>
          <w:rFonts w:hint="eastAsia" w:ascii="宋体" w:hAnsi="宋体"/>
          <w:szCs w:val="21"/>
        </w:rPr>
        <w:t>有依法缴纳税收和职工社会保障资金的良好记录(提供参加本次采购活动前2025年3月—2025年8月内(至少一个月)依法缴纳税收和社会保障资金的相关材料并加盖公章);</w:t>
      </w:r>
    </w:p>
    <w:p w14:paraId="530811DD">
      <w:pPr>
        <w:spacing w:line="360" w:lineRule="auto"/>
        <w:ind w:firstLine="420"/>
        <w:rPr>
          <w:rFonts w:hint="eastAsia" w:ascii="宋体" w:hAnsi="宋体"/>
          <w:szCs w:val="21"/>
        </w:rPr>
      </w:pPr>
      <w:r>
        <w:rPr>
          <w:rFonts w:ascii="宋体" w:hAnsi="宋体"/>
          <w:szCs w:val="21"/>
        </w:rPr>
        <w:t>2.1.5</w:t>
      </w:r>
      <w:r>
        <w:rPr>
          <w:rFonts w:hint="eastAsia" w:ascii="宋体" w:hAnsi="宋体"/>
          <w:szCs w:val="21"/>
        </w:rPr>
        <w:t>参加采购活动前3年内在经营活动中没有重大违法记录(提供声明函);</w:t>
      </w:r>
    </w:p>
    <w:p w14:paraId="77A238D4">
      <w:pPr>
        <w:spacing w:line="360" w:lineRule="auto"/>
        <w:ind w:firstLine="422"/>
        <w:rPr>
          <w:rFonts w:hint="eastAsia" w:ascii="宋体" w:hAnsi="宋体"/>
          <w:b/>
          <w:bCs/>
          <w:szCs w:val="21"/>
        </w:rPr>
      </w:pPr>
      <w:r>
        <w:rPr>
          <w:rFonts w:ascii="宋体" w:hAnsi="宋体"/>
          <w:b/>
          <w:bCs/>
          <w:szCs w:val="21"/>
        </w:rPr>
        <w:t>2.2</w:t>
      </w:r>
      <w:r>
        <w:rPr>
          <w:rFonts w:hint="eastAsia" w:ascii="宋体" w:hAnsi="宋体"/>
          <w:b/>
          <w:bCs/>
          <w:szCs w:val="21"/>
        </w:rPr>
        <w:t>本项目的特定资格要求：</w:t>
      </w:r>
    </w:p>
    <w:p w14:paraId="256B0C49">
      <w:pPr>
        <w:spacing w:line="360" w:lineRule="auto"/>
        <w:ind w:firstLine="420"/>
        <w:rPr>
          <w:rFonts w:hint="eastAsia" w:ascii="宋体" w:hAnsi="宋体"/>
          <w:b/>
          <w:bCs/>
          <w:szCs w:val="21"/>
        </w:rPr>
      </w:pPr>
      <w:r>
        <w:rPr>
          <w:rFonts w:ascii="宋体" w:hAnsi="宋体"/>
          <w:szCs w:val="21"/>
        </w:rPr>
        <w:t>2.2.1</w:t>
      </w:r>
      <w:r>
        <w:rPr>
          <w:rFonts w:hint="eastAsia" w:ascii="宋体" w:hAnsi="宋体"/>
          <w:szCs w:val="21"/>
        </w:rPr>
        <w:t>供应商须供应商资质等级及范围：具有专业承包钢结构工程三级(含)以上；</w:t>
      </w:r>
    </w:p>
    <w:p w14:paraId="16C31C52">
      <w:pPr>
        <w:spacing w:line="360" w:lineRule="auto"/>
        <w:ind w:firstLine="420"/>
        <w:rPr>
          <w:rFonts w:hint="eastAsia" w:ascii="宋体" w:hAnsi="宋体"/>
          <w:b/>
          <w:bCs/>
          <w:szCs w:val="21"/>
        </w:rPr>
      </w:pPr>
      <w:r>
        <w:rPr>
          <w:rFonts w:ascii="宋体" w:hAnsi="宋体"/>
          <w:szCs w:val="21"/>
        </w:rPr>
        <w:t>2.2.2</w:t>
      </w:r>
      <w:r>
        <w:rPr>
          <w:rFonts w:hint="eastAsia" w:ascii="宋体" w:hAnsi="宋体"/>
          <w:szCs w:val="21"/>
        </w:rPr>
        <w:t>项目经理资质类别和等级：具有有效的注册建造师证建筑工程二级(含)以上，并且取得有效的安全生产考核合格证（B证）；且需提供劳动合同及近六月社保缴纳证明（2025年3月至2025年8月）。</w:t>
      </w:r>
    </w:p>
    <w:p w14:paraId="56223A6C">
      <w:pPr>
        <w:pStyle w:val="276"/>
        <w:ind w:firstLine="420"/>
        <w:rPr>
          <w:rFonts w:hint="eastAsia"/>
          <w:sz w:val="21"/>
          <w:szCs w:val="21"/>
        </w:rPr>
      </w:pPr>
      <w:r>
        <w:rPr>
          <w:rFonts w:hint="eastAsia"/>
          <w:sz w:val="21"/>
          <w:szCs w:val="21"/>
        </w:rPr>
        <w:t>2</w:t>
      </w:r>
      <w:r>
        <w:rPr>
          <w:sz w:val="21"/>
          <w:szCs w:val="21"/>
        </w:rPr>
        <w:t>.2.3</w:t>
      </w:r>
      <w:r>
        <w:rPr>
          <w:rFonts w:hint="eastAsia"/>
          <w:sz w:val="21"/>
          <w:szCs w:val="21"/>
        </w:rPr>
        <w:t>供应商须具有安全生产许可证；</w:t>
      </w:r>
    </w:p>
    <w:p w14:paraId="7A2829C2">
      <w:pPr>
        <w:spacing w:line="360" w:lineRule="auto"/>
        <w:ind w:firstLine="42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3拒绝下述供应商参加本次采购活动的情形：</w:t>
      </w:r>
    </w:p>
    <w:p w14:paraId="71D6E039">
      <w:pPr>
        <w:spacing w:line="360" w:lineRule="auto"/>
        <w:ind w:firstLine="420"/>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3</w:t>
      </w:r>
      <w:r>
        <w:rPr>
          <w:rFonts w:ascii="宋体" w:hAnsi="宋体"/>
          <w:szCs w:val="21"/>
        </w:rPr>
        <w:t>.1</w:t>
      </w:r>
      <w:r>
        <w:rPr>
          <w:rFonts w:hint="eastAsia" w:ascii="宋体" w:hAnsi="宋体"/>
          <w:szCs w:val="21"/>
        </w:rPr>
        <w:t>供应商单位负责人为同一人或者存在直接控股、管理关系的不同供应商，不得参加同一分包或者未划分分包的同一项目采购活动。</w:t>
      </w:r>
    </w:p>
    <w:p w14:paraId="5B64E883">
      <w:pPr>
        <w:spacing w:line="360" w:lineRule="auto"/>
        <w:ind w:firstLine="420"/>
        <w:rPr>
          <w:rFonts w:hint="eastAsia" w:ascii="宋体" w:hAnsi="宋体"/>
          <w:szCs w:val="21"/>
        </w:rPr>
      </w:pPr>
      <w:r>
        <w:rPr>
          <w:rFonts w:ascii="宋体" w:hAnsi="宋体"/>
          <w:szCs w:val="21"/>
        </w:rPr>
        <w:t>2.</w:t>
      </w:r>
      <w:r>
        <w:rPr>
          <w:rFonts w:hint="eastAsia" w:ascii="宋体" w:hAnsi="宋体"/>
          <w:szCs w:val="21"/>
        </w:rPr>
        <w:t>3</w:t>
      </w:r>
      <w:r>
        <w:rPr>
          <w:rFonts w:ascii="宋体" w:hAnsi="宋体"/>
          <w:szCs w:val="21"/>
        </w:rPr>
        <w:t>.2</w:t>
      </w:r>
      <w:r>
        <w:rPr>
          <w:szCs w:val="21"/>
        </w:rPr>
        <w:t>凡为采购项目提供整体设计、规范编制或者项目管理、监理、检测等服务的投标人，不得再参加本项目的采购活动。</w:t>
      </w:r>
    </w:p>
    <w:p w14:paraId="4938C288">
      <w:pPr>
        <w:spacing w:line="360" w:lineRule="auto"/>
        <w:ind w:firstLine="420"/>
        <w:rPr>
          <w:rFonts w:hint="eastAsia" w:ascii="宋体" w:hAnsi="宋体"/>
          <w:b/>
          <w:bCs/>
          <w:szCs w:val="21"/>
        </w:rPr>
      </w:pPr>
      <w:r>
        <w:rPr>
          <w:rFonts w:hint="eastAsia" w:ascii="宋体" w:hAnsi="宋体"/>
          <w:szCs w:val="21"/>
        </w:rPr>
        <w:t>2</w:t>
      </w:r>
      <w:r>
        <w:rPr>
          <w:rFonts w:ascii="宋体" w:hAnsi="宋体"/>
          <w:szCs w:val="21"/>
        </w:rPr>
        <w:t>.</w:t>
      </w:r>
      <w:r>
        <w:rPr>
          <w:rFonts w:hint="eastAsia" w:ascii="宋体" w:hAnsi="宋体"/>
          <w:szCs w:val="21"/>
        </w:rPr>
        <w:t>3</w:t>
      </w:r>
      <w:r>
        <w:rPr>
          <w:rFonts w:ascii="宋体" w:hAnsi="宋体"/>
          <w:szCs w:val="21"/>
        </w:rPr>
        <w:t>.3</w:t>
      </w:r>
      <w:r>
        <w:rPr>
          <w:rFonts w:hint="eastAsia" w:ascii="宋体" w:hAnsi="宋体"/>
          <w:szCs w:val="21"/>
        </w:rPr>
        <w:t>拒绝列入采购严重违法失信行为记录名单，在信用中国网站列入失信被执行人、重大税收违法案件当事人名单、企业经营异常名录失信行为记录名单</w:t>
      </w:r>
      <w:bookmarkEnd w:id="10"/>
      <w:r>
        <w:rPr>
          <w:rFonts w:hint="eastAsia" w:ascii="宋体" w:hAnsi="宋体"/>
          <w:szCs w:val="21"/>
        </w:rPr>
        <w:t>。</w:t>
      </w:r>
    </w:p>
    <w:p w14:paraId="218BA630">
      <w:pPr>
        <w:pStyle w:val="234"/>
        <w:spacing w:line="440" w:lineRule="exact"/>
        <w:ind w:firstLine="0"/>
        <w:outlineLvl w:val="1"/>
        <w:rPr>
          <w:rFonts w:hint="eastAsia" w:ascii="宋体" w:hAnsi="宋体"/>
          <w:b/>
          <w:szCs w:val="21"/>
        </w:rPr>
      </w:pPr>
      <w:r>
        <w:rPr>
          <w:rFonts w:hint="eastAsia" w:ascii="宋体" w:hAnsi="宋体"/>
          <w:b/>
          <w:szCs w:val="21"/>
        </w:rPr>
        <w:t>三、资格审查方法</w:t>
      </w:r>
    </w:p>
    <w:p w14:paraId="05733D8F">
      <w:pPr>
        <w:spacing w:line="360" w:lineRule="auto"/>
        <w:ind w:firstLine="420"/>
        <w:rPr>
          <w:rFonts w:hint="eastAsia" w:ascii="宋体" w:hAnsi="宋体"/>
          <w:szCs w:val="21"/>
        </w:rPr>
      </w:pPr>
      <w:r>
        <w:rPr>
          <w:rFonts w:hint="eastAsia" w:ascii="宋体" w:hAnsi="宋体"/>
          <w:szCs w:val="21"/>
        </w:rPr>
        <w:t>本项目将进行资格后审，资格审查标准和内容见竞争性谈判文件第三章“评审办法”，凡未通过资格后审的供应商，其响应文件将被否决。</w:t>
      </w:r>
    </w:p>
    <w:p w14:paraId="310D3A51">
      <w:pPr>
        <w:pStyle w:val="234"/>
        <w:numPr>
          <w:ilvl w:val="0"/>
          <w:numId w:val="4"/>
        </w:numPr>
        <w:spacing w:line="340" w:lineRule="exact"/>
        <w:ind w:firstLine="0"/>
        <w:outlineLvl w:val="1"/>
        <w:rPr>
          <w:rFonts w:hint="eastAsia" w:ascii="宋体" w:hAnsi="宋体"/>
          <w:b/>
          <w:szCs w:val="21"/>
        </w:rPr>
      </w:pPr>
      <w:r>
        <w:rPr>
          <w:rFonts w:hint="eastAsia" w:ascii="宋体" w:hAnsi="宋体"/>
          <w:b/>
          <w:szCs w:val="21"/>
        </w:rPr>
        <w:t>竞争性谈判文件获取</w:t>
      </w:r>
    </w:p>
    <w:p w14:paraId="63830513">
      <w:pPr>
        <w:pStyle w:val="234"/>
        <w:spacing w:line="360" w:lineRule="auto"/>
        <w:outlineLvl w:val="1"/>
        <w:rPr>
          <w:rFonts w:hint="eastAsia" w:ascii="宋体" w:hAnsi="宋体"/>
          <w:szCs w:val="21"/>
        </w:rPr>
      </w:pPr>
      <w:r>
        <w:rPr>
          <w:rFonts w:hint="eastAsia" w:ascii="宋体" w:hAnsi="宋体"/>
          <w:szCs w:val="21"/>
        </w:rPr>
        <w:t>4.1获取时间：从 2025年9月19日09时00分到2025年9月23日17时00分；</w:t>
      </w:r>
    </w:p>
    <w:p w14:paraId="346686F7">
      <w:pPr>
        <w:pStyle w:val="234"/>
        <w:spacing w:line="360" w:lineRule="auto"/>
        <w:outlineLvl w:val="1"/>
        <w:rPr>
          <w:rFonts w:hint="eastAsia" w:ascii="宋体" w:hAnsi="宋体"/>
          <w:szCs w:val="21"/>
        </w:rPr>
      </w:pPr>
      <w:r>
        <w:rPr>
          <w:rFonts w:hint="eastAsia" w:ascii="宋体" w:hAnsi="宋体"/>
          <w:szCs w:val="21"/>
        </w:rPr>
        <w:t>4.2报名资料：单位营业执照、法人授权委托书、领取文件登记表（详见附件）、文件费转账截图发送至邮箱。本项目只接受网上报名，受理报名邮箱为zbb_naujsc@163.com，报名联系人：张老师025-85780003</w:t>
      </w:r>
    </w:p>
    <w:p w14:paraId="5C547C22">
      <w:pPr>
        <w:pStyle w:val="234"/>
        <w:spacing w:line="360" w:lineRule="auto"/>
        <w:outlineLvl w:val="1"/>
        <w:rPr>
          <w:rFonts w:hint="eastAsia" w:ascii="宋体" w:hAnsi="宋体"/>
          <w:szCs w:val="21"/>
        </w:rPr>
      </w:pPr>
      <w:r>
        <w:rPr>
          <w:rFonts w:hint="eastAsia" w:ascii="宋体" w:hAnsi="宋体"/>
          <w:szCs w:val="21"/>
        </w:rPr>
        <w:t>4.3招标文件费500元，售后不退。文件费电汇至如下账户：南京审计大学金审学院，开户银行名称：工商银行栖霞支行，开户银行账号：4301018619100066683，汇款请注明投标项目名称：西门快递驿站工程。</w:t>
      </w:r>
    </w:p>
    <w:p w14:paraId="302B0C5A">
      <w:pPr>
        <w:pStyle w:val="234"/>
        <w:spacing w:line="360" w:lineRule="auto"/>
        <w:ind w:firstLineChars="200"/>
        <w:outlineLvl w:val="1"/>
        <w:rPr>
          <w:rFonts w:hint="eastAsia" w:ascii="宋体" w:hAnsi="宋体"/>
          <w:szCs w:val="21"/>
        </w:rPr>
      </w:pPr>
      <w:r>
        <w:rPr>
          <w:rFonts w:hint="eastAsia" w:ascii="宋体" w:hAnsi="宋体"/>
          <w:szCs w:val="21"/>
        </w:rPr>
        <w:t>4.4报名时间截止后，招标人将发送电子版招标文件至通过报名审查的供应商（已递交报名资料、文件费转账截图）。</w:t>
      </w:r>
    </w:p>
    <w:p w14:paraId="7E85B707">
      <w:pPr>
        <w:pStyle w:val="234"/>
        <w:spacing w:line="340" w:lineRule="exact"/>
        <w:ind w:firstLine="0"/>
        <w:outlineLvl w:val="1"/>
        <w:rPr>
          <w:rFonts w:hint="eastAsia" w:ascii="宋体" w:hAnsi="宋体"/>
          <w:b/>
          <w:szCs w:val="21"/>
        </w:rPr>
      </w:pPr>
      <w:r>
        <w:rPr>
          <w:rFonts w:hint="eastAsia" w:ascii="宋体" w:hAnsi="宋体"/>
          <w:b/>
          <w:szCs w:val="21"/>
        </w:rPr>
        <w:t>五、响应文件的递交</w:t>
      </w:r>
    </w:p>
    <w:p w14:paraId="6ACB7BAE">
      <w:pPr>
        <w:pStyle w:val="234"/>
        <w:spacing w:line="360" w:lineRule="auto"/>
        <w:outlineLvl w:val="1"/>
        <w:rPr>
          <w:rFonts w:hint="eastAsia" w:ascii="宋体" w:hAnsi="宋体"/>
          <w:szCs w:val="21"/>
        </w:rPr>
      </w:pPr>
      <w:r>
        <w:rPr>
          <w:rFonts w:hint="eastAsia" w:ascii="宋体" w:hAnsi="宋体"/>
          <w:szCs w:val="21"/>
        </w:rPr>
        <w:t>5.1响应文件提交开始时间：2025年9月24日9时00分。</w:t>
      </w:r>
    </w:p>
    <w:p w14:paraId="1B54B108">
      <w:pPr>
        <w:pStyle w:val="234"/>
        <w:spacing w:line="360" w:lineRule="auto"/>
        <w:outlineLvl w:val="1"/>
        <w:rPr>
          <w:rFonts w:hint="eastAsia" w:ascii="宋体" w:hAnsi="宋体"/>
          <w:szCs w:val="21"/>
        </w:rPr>
      </w:pPr>
      <w:r>
        <w:rPr>
          <w:rFonts w:hint="eastAsia" w:ascii="宋体" w:hAnsi="宋体"/>
          <w:szCs w:val="21"/>
        </w:rPr>
        <w:t>5.2响应文件提交截止时间：2025年9月24 日9时30分。</w:t>
      </w:r>
    </w:p>
    <w:p w14:paraId="1B184C43">
      <w:pPr>
        <w:pStyle w:val="234"/>
        <w:spacing w:line="360" w:lineRule="auto"/>
        <w:outlineLvl w:val="1"/>
        <w:rPr>
          <w:rFonts w:hint="eastAsia" w:ascii="宋体" w:hAnsi="宋体"/>
          <w:szCs w:val="21"/>
        </w:rPr>
      </w:pPr>
      <w:r>
        <w:rPr>
          <w:rFonts w:hint="eastAsia" w:ascii="宋体" w:hAnsi="宋体"/>
          <w:szCs w:val="21"/>
        </w:rPr>
        <w:t>5.3响应文件提交地点：南京市栖霞区仙林大道100号行政楼一楼会议室。</w:t>
      </w:r>
    </w:p>
    <w:p w14:paraId="0E325D57">
      <w:pPr>
        <w:pStyle w:val="234"/>
        <w:spacing w:line="360" w:lineRule="auto"/>
        <w:ind w:firstLineChars="200"/>
        <w:outlineLvl w:val="1"/>
        <w:rPr>
          <w:rFonts w:hint="eastAsia" w:ascii="宋体" w:hAnsi="宋体"/>
          <w:szCs w:val="21"/>
        </w:rPr>
      </w:pPr>
      <w:r>
        <w:rPr>
          <w:rFonts w:hint="eastAsia" w:ascii="宋体" w:hAnsi="宋体"/>
          <w:szCs w:val="21"/>
        </w:rPr>
        <w:t>5.4响应文件份数：纸质版响应文件一式叁份（壹份正本、贰份副本），电子版响应文件壹份[一般应为PDF格式、U盘形式]。当纸质正本文件与副本、电子版文件不一致时，以纸质正本文件为准。电子版文件用于辅助评审和存档，供应商须承担前述不一致造成的不利后果。每份纸质文件须清楚标明“正本”或“副本”字样。</w:t>
      </w:r>
    </w:p>
    <w:p w14:paraId="3D339285">
      <w:pPr>
        <w:pStyle w:val="234"/>
        <w:spacing w:line="340" w:lineRule="exact"/>
        <w:ind w:firstLine="0"/>
        <w:outlineLvl w:val="1"/>
        <w:rPr>
          <w:rFonts w:hint="eastAsia" w:ascii="宋体" w:hAnsi="宋体"/>
          <w:b/>
          <w:szCs w:val="21"/>
        </w:rPr>
      </w:pPr>
      <w:r>
        <w:rPr>
          <w:rFonts w:hint="eastAsia" w:ascii="宋体" w:hAnsi="宋体"/>
          <w:b/>
          <w:szCs w:val="21"/>
        </w:rPr>
        <w:t>六、公告期限</w:t>
      </w:r>
    </w:p>
    <w:p w14:paraId="7E88CFD4">
      <w:pPr>
        <w:pStyle w:val="234"/>
        <w:spacing w:line="340" w:lineRule="exact"/>
        <w:ind w:firstLineChars="200"/>
        <w:outlineLvl w:val="1"/>
        <w:rPr>
          <w:rFonts w:hint="eastAsia" w:ascii="宋体" w:hAnsi="宋体"/>
          <w:szCs w:val="21"/>
        </w:rPr>
      </w:pPr>
      <w:r>
        <w:rPr>
          <w:rFonts w:hint="eastAsia" w:ascii="宋体" w:hAnsi="宋体"/>
          <w:szCs w:val="21"/>
        </w:rPr>
        <w:t>自本公告发布之日起3个工作日</w:t>
      </w:r>
    </w:p>
    <w:p w14:paraId="6199FE36">
      <w:pPr>
        <w:pStyle w:val="234"/>
        <w:spacing w:line="340" w:lineRule="exact"/>
        <w:ind w:firstLine="0"/>
        <w:outlineLvl w:val="1"/>
        <w:rPr>
          <w:rFonts w:hint="eastAsia" w:ascii="宋体" w:hAnsi="宋体"/>
          <w:b/>
          <w:szCs w:val="21"/>
        </w:rPr>
      </w:pPr>
      <w:r>
        <w:rPr>
          <w:rFonts w:hint="eastAsia" w:ascii="宋体" w:hAnsi="宋体"/>
          <w:b/>
          <w:szCs w:val="21"/>
        </w:rPr>
        <w:t>七、其他补充事宜</w:t>
      </w:r>
    </w:p>
    <w:p w14:paraId="6BBA43BE">
      <w:pPr>
        <w:pStyle w:val="234"/>
        <w:spacing w:line="360" w:lineRule="auto"/>
        <w:ind w:firstLineChars="200"/>
        <w:outlineLvl w:val="1"/>
        <w:rPr>
          <w:rFonts w:hint="eastAsia"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1本项目无需缴纳谈判保证金。</w:t>
      </w:r>
    </w:p>
    <w:p w14:paraId="63C5BFF7">
      <w:pPr>
        <w:pStyle w:val="234"/>
        <w:spacing w:line="360" w:lineRule="auto"/>
        <w:ind w:firstLineChars="200"/>
        <w:outlineLvl w:val="1"/>
        <w:rPr>
          <w:rFonts w:hint="eastAsia"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2现场查勘：自行踏勘。采购人不组织现场勘查，供应商可自行勘察现场或联系采购人。未踏勘现场或踏勘工作不详细的供应商中标后，不得以不完全了解现场情况为理由而向采购人提出任何索赔或其他要求，对此采购人不承担任何责任并将不作任何答复，请各潜在投标供应商务必对采购文件进行仔细认真阅读，在随后的采购中，对采购文件所作出的推论、解释和结论及由此造成的后果由投标供应商负责。现场勘查联系人：李老师 15956577706</w:t>
      </w:r>
    </w:p>
    <w:p w14:paraId="34624EF5">
      <w:pPr>
        <w:pStyle w:val="234"/>
        <w:spacing w:line="340" w:lineRule="exact"/>
        <w:ind w:firstLine="0"/>
        <w:outlineLvl w:val="1"/>
        <w:rPr>
          <w:rFonts w:hint="eastAsia" w:ascii="宋体" w:hAnsi="宋体"/>
          <w:bCs/>
          <w:szCs w:val="21"/>
        </w:rPr>
      </w:pPr>
      <w:r>
        <w:rPr>
          <w:rFonts w:hint="eastAsia" w:ascii="宋体" w:hAnsi="宋体"/>
          <w:bCs/>
          <w:szCs w:val="21"/>
        </w:rPr>
        <w:t>八、联系方式</w:t>
      </w:r>
    </w:p>
    <w:p w14:paraId="3A7BD9E2">
      <w:pPr>
        <w:spacing w:line="360" w:lineRule="auto"/>
        <w:ind w:firstLine="420"/>
        <w:rPr>
          <w:rFonts w:hint="eastAsia" w:ascii="宋体" w:hAnsi="宋体"/>
          <w:szCs w:val="21"/>
        </w:rPr>
      </w:pPr>
      <w:r>
        <w:rPr>
          <w:rFonts w:hint="eastAsia" w:ascii="宋体" w:hAnsi="宋体"/>
          <w:szCs w:val="21"/>
        </w:rPr>
        <w:t>1.采购人信息</w:t>
      </w:r>
    </w:p>
    <w:p w14:paraId="3C627484">
      <w:pPr>
        <w:spacing w:line="360" w:lineRule="auto"/>
        <w:ind w:firstLine="420"/>
        <w:rPr>
          <w:rFonts w:hint="eastAsia" w:ascii="宋体" w:hAnsi="宋体"/>
          <w:szCs w:val="21"/>
        </w:rPr>
      </w:pPr>
      <w:r>
        <w:rPr>
          <w:rFonts w:hint="eastAsia" w:ascii="宋体" w:hAnsi="宋体"/>
          <w:szCs w:val="21"/>
        </w:rPr>
        <w:t>名称：南京审计大学金审学院</w:t>
      </w:r>
    </w:p>
    <w:p w14:paraId="281CB562">
      <w:pPr>
        <w:spacing w:line="360" w:lineRule="auto"/>
        <w:ind w:firstLine="420"/>
        <w:rPr>
          <w:rFonts w:hint="eastAsia" w:ascii="宋体" w:hAnsi="宋体"/>
          <w:szCs w:val="21"/>
        </w:rPr>
      </w:pPr>
      <w:r>
        <w:rPr>
          <w:rFonts w:hint="eastAsia" w:ascii="宋体" w:hAnsi="宋体"/>
          <w:szCs w:val="21"/>
        </w:rPr>
        <w:t>地址：南京市栖霞区仙林大道100号</w:t>
      </w:r>
    </w:p>
    <w:p w14:paraId="504162CF">
      <w:pPr>
        <w:spacing w:line="360" w:lineRule="auto"/>
        <w:ind w:firstLine="420"/>
        <w:rPr>
          <w:rFonts w:hint="eastAsia" w:ascii="宋体" w:hAnsi="宋体"/>
          <w:szCs w:val="21"/>
        </w:rPr>
      </w:pPr>
      <w:r>
        <w:rPr>
          <w:rFonts w:hint="eastAsia" w:ascii="宋体" w:hAnsi="宋体"/>
          <w:szCs w:val="21"/>
        </w:rPr>
        <w:t xml:space="preserve">项目报名联系人：张老师 025-85780003   </w:t>
      </w:r>
    </w:p>
    <w:p w14:paraId="70674ABD">
      <w:pPr>
        <w:spacing w:line="360" w:lineRule="auto"/>
        <w:ind w:firstLine="420"/>
        <w:rPr>
          <w:rFonts w:hint="eastAsia" w:ascii="宋体" w:hAnsi="宋体"/>
          <w:szCs w:val="21"/>
        </w:rPr>
        <w:sectPr>
          <w:footerReference r:id="rId5" w:type="default"/>
          <w:pgSz w:w="11906" w:h="16838"/>
          <w:pgMar w:top="1440" w:right="1800" w:bottom="1440" w:left="1800" w:header="851" w:footer="992" w:gutter="0"/>
          <w:cols w:space="720" w:num="1"/>
          <w:docGrid w:linePitch="360" w:charSpace="0"/>
        </w:sectPr>
      </w:pPr>
      <w:r>
        <w:rPr>
          <w:rFonts w:hint="eastAsia" w:ascii="宋体" w:hAnsi="宋体"/>
          <w:bCs/>
          <w:szCs w:val="21"/>
        </w:rPr>
        <w:t>现场勘查联系人：李老师 15956577706</w:t>
      </w:r>
      <w:r>
        <w:rPr>
          <w:rFonts w:hint="eastAsia" w:ascii="宋体" w:hAnsi="宋体"/>
          <w:szCs w:val="21"/>
        </w:rPr>
        <w:t xml:space="preserve">                              </w:t>
      </w:r>
      <w:bookmarkStart w:id="11" w:name="OLE_LINK1"/>
    </w:p>
    <w:bookmarkEnd w:id="11"/>
    <w:p w14:paraId="45AB2235">
      <w:pPr>
        <w:spacing w:line="360" w:lineRule="auto"/>
        <w:jc w:val="center"/>
        <w:rPr>
          <w:rFonts w:hint="eastAsia" w:asciiTheme="minorEastAsia" w:hAnsiTheme="minorEastAsia" w:eastAsiaTheme="minorEastAsia" w:cstheme="minorEastAsia"/>
          <w:szCs w:val="21"/>
        </w:rPr>
      </w:pPr>
      <w:bookmarkStart w:id="12" w:name="_Toc447188665"/>
      <w:bookmarkStart w:id="13" w:name="_Toc11964"/>
      <w:bookmarkStart w:id="14" w:name="_Toc447265214"/>
      <w:bookmarkStart w:id="15" w:name="_Toc447265500"/>
      <w:r>
        <w:rPr>
          <w:rFonts w:hint="eastAsia" w:ascii="宋体" w:hAnsi="宋体" w:cs="宋体"/>
          <w:b/>
          <w:sz w:val="28"/>
          <w:szCs w:val="28"/>
        </w:rPr>
        <w:t>第二章 供应商须知</w:t>
      </w:r>
      <w:bookmarkEnd w:id="12"/>
      <w:bookmarkEnd w:id="13"/>
      <w:bookmarkEnd w:id="14"/>
      <w:bookmarkEnd w:id="15"/>
      <w:bookmarkStart w:id="16" w:name="_Toc14024"/>
      <w:bookmarkStart w:id="17" w:name="_Toc447265502"/>
      <w:bookmarkStart w:id="18" w:name="_Toc447265216"/>
      <w:bookmarkStart w:id="19" w:name="_Toc447188667"/>
      <w:bookmarkStart w:id="20" w:name="_Toc226969278"/>
      <w:bookmarkStart w:id="21" w:name="_Toc227057885"/>
      <w:bookmarkStart w:id="22" w:name="_Toc107822484"/>
      <w:bookmarkStart w:id="23" w:name="_Toc488655831"/>
    </w:p>
    <w:p w14:paraId="514C144F">
      <w:pPr>
        <w:pStyle w:val="42"/>
        <w:spacing w:after="0" w:line="340" w:lineRule="exact"/>
        <w:jc w:val="left"/>
        <w:outlineLvl w:val="1"/>
        <w:rPr>
          <w:rFonts w:hint="eastAsia" w:ascii="宋体" w:hAnsi="宋体"/>
          <w:sz w:val="21"/>
          <w:szCs w:val="21"/>
        </w:rPr>
      </w:pPr>
      <w:r>
        <w:rPr>
          <w:rFonts w:hint="eastAsia" w:ascii="宋体" w:hAnsi="宋体"/>
          <w:sz w:val="21"/>
          <w:szCs w:val="21"/>
        </w:rPr>
        <w:t>一、总则</w:t>
      </w:r>
      <w:bookmarkEnd w:id="16"/>
      <w:bookmarkEnd w:id="17"/>
      <w:bookmarkEnd w:id="18"/>
      <w:bookmarkEnd w:id="19"/>
    </w:p>
    <w:p w14:paraId="6EB3F85B">
      <w:pPr>
        <w:spacing w:line="340" w:lineRule="exact"/>
        <w:rPr>
          <w:rFonts w:hint="eastAsia" w:ascii="宋体" w:hAnsi="宋体" w:cs="宋体"/>
          <w:b/>
          <w:bCs/>
          <w:szCs w:val="21"/>
        </w:rPr>
      </w:pPr>
      <w:bookmarkStart w:id="24" w:name="_Toc246996919"/>
      <w:bookmarkStart w:id="25" w:name="_Toc246996176"/>
      <w:bookmarkStart w:id="26" w:name="_Toc152042306"/>
      <w:bookmarkStart w:id="27" w:name="_Toc144974498"/>
      <w:bookmarkStart w:id="28" w:name="_Toc296602421"/>
      <w:bookmarkStart w:id="29" w:name="_Toc179632547"/>
      <w:bookmarkStart w:id="30" w:name="_Toc447265217"/>
      <w:bookmarkStart w:id="31" w:name="_Toc152045530"/>
      <w:bookmarkStart w:id="32" w:name="_Toc447188668"/>
      <w:bookmarkStart w:id="33" w:name="_Toc447265503"/>
      <w:bookmarkStart w:id="34" w:name="_Toc247085690"/>
      <w:r>
        <w:rPr>
          <w:rFonts w:ascii="宋体" w:hAnsi="宋体" w:cs="宋体"/>
          <w:b/>
          <w:bCs/>
          <w:szCs w:val="21"/>
        </w:rPr>
        <w:t>1.1</w:t>
      </w:r>
      <w:bookmarkEnd w:id="24"/>
      <w:bookmarkEnd w:id="25"/>
      <w:bookmarkEnd w:id="26"/>
      <w:bookmarkEnd w:id="27"/>
      <w:bookmarkEnd w:id="28"/>
      <w:bookmarkEnd w:id="29"/>
      <w:bookmarkEnd w:id="30"/>
      <w:bookmarkEnd w:id="31"/>
      <w:bookmarkEnd w:id="32"/>
      <w:bookmarkEnd w:id="33"/>
      <w:bookmarkEnd w:id="34"/>
      <w:r>
        <w:rPr>
          <w:rFonts w:hint="eastAsia" w:ascii="宋体" w:hAnsi="宋体" w:cs="宋体"/>
          <w:b/>
          <w:bCs/>
          <w:szCs w:val="21"/>
        </w:rPr>
        <w:t>适用范围</w:t>
      </w:r>
      <w:bookmarkEnd w:id="20"/>
      <w:bookmarkEnd w:id="21"/>
    </w:p>
    <w:p w14:paraId="094BBD36">
      <w:pPr>
        <w:spacing w:line="360" w:lineRule="auto"/>
        <w:ind w:firstLine="420"/>
        <w:rPr>
          <w:rFonts w:hint="eastAsia" w:ascii="宋体" w:hAnsi="宋体"/>
          <w:szCs w:val="21"/>
        </w:rPr>
      </w:pPr>
      <w:r>
        <w:rPr>
          <w:rFonts w:hint="eastAsia" w:ascii="宋体" w:hAnsi="宋体"/>
          <w:szCs w:val="21"/>
        </w:rPr>
        <w:t>1.1.1本谈判文件仅适用于南京审计大学金审学院西门快递驿站工程。</w:t>
      </w:r>
    </w:p>
    <w:p w14:paraId="39A687BA">
      <w:pPr>
        <w:spacing w:line="360" w:lineRule="auto"/>
        <w:ind w:firstLine="420"/>
        <w:rPr>
          <w:rFonts w:hint="eastAsia" w:ascii="宋体" w:hAnsi="宋体"/>
          <w:szCs w:val="21"/>
        </w:rPr>
      </w:pPr>
      <w:r>
        <w:rPr>
          <w:rFonts w:hint="eastAsia" w:ascii="宋体" w:hAnsi="宋体"/>
          <w:szCs w:val="21"/>
        </w:rPr>
        <w:t>1.1.2采购人：南京审计大学金审学院</w:t>
      </w:r>
      <w:bookmarkEnd w:id="22"/>
    </w:p>
    <w:p w14:paraId="44B1AC82">
      <w:pPr>
        <w:spacing w:line="340" w:lineRule="exact"/>
        <w:rPr>
          <w:rFonts w:hint="eastAsia" w:ascii="宋体" w:hAnsi="宋体" w:cs="宋体"/>
          <w:b/>
          <w:bCs/>
          <w:szCs w:val="21"/>
        </w:rPr>
      </w:pPr>
      <w:bookmarkStart w:id="35" w:name="_Toc447265512"/>
      <w:bookmarkStart w:id="36" w:name="_Toc447265226"/>
      <w:bookmarkStart w:id="37" w:name="_Toc227057891"/>
      <w:bookmarkStart w:id="38" w:name="_Toc226969285"/>
      <w:bookmarkStart w:id="39" w:name="_Toc447188677"/>
      <w:bookmarkStart w:id="40" w:name="_Toc107822488"/>
      <w:r>
        <w:rPr>
          <w:rFonts w:ascii="宋体" w:hAnsi="宋体" w:cs="宋体"/>
          <w:b/>
          <w:bCs/>
          <w:szCs w:val="21"/>
        </w:rPr>
        <w:t>1.</w:t>
      </w:r>
      <w:r>
        <w:rPr>
          <w:rFonts w:hint="eastAsia" w:ascii="宋体" w:hAnsi="宋体" w:cs="宋体"/>
          <w:b/>
          <w:bCs/>
          <w:szCs w:val="21"/>
        </w:rPr>
        <w:t>2谈判费用</w:t>
      </w:r>
      <w:bookmarkEnd w:id="35"/>
      <w:bookmarkEnd w:id="36"/>
      <w:bookmarkEnd w:id="37"/>
      <w:bookmarkEnd w:id="38"/>
      <w:bookmarkEnd w:id="39"/>
      <w:bookmarkEnd w:id="40"/>
    </w:p>
    <w:p w14:paraId="6F33CB12">
      <w:pPr>
        <w:spacing w:line="360" w:lineRule="auto"/>
        <w:ind w:firstLine="420"/>
        <w:rPr>
          <w:rFonts w:hint="eastAsia" w:ascii="宋体" w:hAnsi="宋体"/>
          <w:szCs w:val="21"/>
        </w:rPr>
      </w:pPr>
      <w:bookmarkStart w:id="41" w:name="_Toc107822489"/>
      <w:bookmarkStart w:id="42" w:name="_Toc227057892"/>
      <w:bookmarkStart w:id="43" w:name="_Toc226969286"/>
      <w:r>
        <w:rPr>
          <w:rFonts w:hint="eastAsia" w:ascii="宋体" w:hAnsi="宋体"/>
          <w:szCs w:val="21"/>
        </w:rPr>
        <w:t>1.2.1供应商应承担所有与准备和参加竞争性谈判有关的费用，无论采购结果如何，采购人和采购人在任何情况下均无义务和责任承担这些费用。</w:t>
      </w:r>
    </w:p>
    <w:p w14:paraId="31025532">
      <w:pPr>
        <w:spacing w:line="360" w:lineRule="auto"/>
        <w:rPr>
          <w:rFonts w:hint="eastAsia" w:ascii="宋体" w:hAnsi="宋体"/>
          <w:szCs w:val="21"/>
        </w:rPr>
      </w:pPr>
      <w:r>
        <w:rPr>
          <w:rFonts w:hint="eastAsia" w:ascii="宋体" w:hAnsi="宋体"/>
          <w:szCs w:val="21"/>
        </w:rPr>
        <w:t>1.2.2本项目控制价编制费、清单编制费由中标供应商在领取中标通知书之时支付给造价咨询单位，此项费用不单列，请供应商投标时自行考虑。招标工程量清单及控制价编制费的计取以中标价为计算基数，按照“苏价服［2014］383号文”的45%计取招标工程量清单及控制价编制费，最低保底单项收费额2500元。</w:t>
      </w:r>
    </w:p>
    <w:p w14:paraId="418B291E">
      <w:pPr>
        <w:spacing w:line="340" w:lineRule="exact"/>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本次采购方式</w:t>
      </w:r>
    </w:p>
    <w:p w14:paraId="12B54875">
      <w:pPr>
        <w:spacing w:line="360" w:lineRule="auto"/>
        <w:ind w:firstLine="420"/>
        <w:rPr>
          <w:rFonts w:hint="eastAsia" w:ascii="宋体" w:hAnsi="宋体"/>
          <w:szCs w:val="21"/>
        </w:rPr>
      </w:pPr>
      <w:r>
        <w:rPr>
          <w:rFonts w:hint="eastAsia" w:ascii="宋体" w:hAnsi="宋体"/>
          <w:szCs w:val="21"/>
        </w:rPr>
        <w:t>1.3.1 本次采购采用竞争性谈判的方式；</w:t>
      </w:r>
    </w:p>
    <w:p w14:paraId="4FA95AD6">
      <w:pPr>
        <w:spacing w:line="360" w:lineRule="auto"/>
        <w:ind w:firstLine="420"/>
        <w:rPr>
          <w:rFonts w:hint="eastAsia" w:ascii="宋体" w:hAnsi="宋体"/>
          <w:szCs w:val="21"/>
        </w:rPr>
      </w:pPr>
      <w:r>
        <w:rPr>
          <w:rFonts w:hint="eastAsia" w:ascii="宋体" w:hAnsi="宋体"/>
          <w:szCs w:val="21"/>
        </w:rPr>
        <w:t>1.3.2 本项目资格审查方式：☑资格后审</w:t>
      </w:r>
    </w:p>
    <w:p w14:paraId="2F0EB5A2">
      <w:pPr>
        <w:spacing w:line="360" w:lineRule="auto"/>
        <w:ind w:firstLine="420"/>
        <w:rPr>
          <w:rFonts w:hint="eastAsia" w:ascii="宋体" w:hAnsi="宋体"/>
          <w:szCs w:val="21"/>
        </w:rPr>
      </w:pPr>
      <w:r>
        <w:rPr>
          <w:rFonts w:hint="eastAsia" w:ascii="宋体" w:hAnsi="宋体"/>
          <w:szCs w:val="21"/>
        </w:rPr>
        <w:t>1.3.3 本次采购确定的成交人数量：1 名</w:t>
      </w:r>
    </w:p>
    <w:p w14:paraId="625AE549">
      <w:pPr>
        <w:spacing w:line="360" w:lineRule="auto"/>
        <w:ind w:firstLine="420"/>
        <w:rPr>
          <w:rFonts w:hint="eastAsia" w:ascii="宋体" w:hAnsi="宋体"/>
          <w:szCs w:val="21"/>
        </w:rPr>
      </w:pPr>
      <w:r>
        <w:rPr>
          <w:rFonts w:hint="eastAsia" w:ascii="宋体" w:hAnsi="宋体"/>
          <w:szCs w:val="21"/>
        </w:rPr>
        <w:t>1.3.4 本项目是否接受联合体：☑不接受</w:t>
      </w:r>
    </w:p>
    <w:p w14:paraId="541B0EC4">
      <w:pPr>
        <w:spacing w:line="340" w:lineRule="exact"/>
        <w:rPr>
          <w:rFonts w:hint="eastAsia" w:ascii="宋体" w:hAnsi="宋体" w:cs="宋体"/>
          <w:b/>
          <w:bCs/>
          <w:szCs w:val="21"/>
        </w:rPr>
      </w:pPr>
      <w:r>
        <w:rPr>
          <w:rFonts w:hint="eastAsia" w:ascii="宋体" w:hAnsi="宋体" w:cs="宋体"/>
          <w:b/>
          <w:bCs/>
          <w:szCs w:val="21"/>
        </w:rPr>
        <w:t>1.4踏勘现场</w:t>
      </w:r>
    </w:p>
    <w:p w14:paraId="2D12489A">
      <w:pPr>
        <w:spacing w:line="360" w:lineRule="auto"/>
        <w:ind w:firstLine="420"/>
        <w:rPr>
          <w:rFonts w:hint="eastAsia" w:ascii="宋体" w:hAnsi="宋体"/>
          <w:szCs w:val="21"/>
        </w:rPr>
      </w:pPr>
      <w:r>
        <w:rPr>
          <w:rFonts w:hint="eastAsia" w:ascii="宋体" w:hAnsi="宋体"/>
          <w:szCs w:val="21"/>
        </w:rPr>
        <w:t>1.4.1 采购人不组织供应商集中踏勘现场，供应商可以自行对工程施工现场和周围环境进行勘察，以获取编制谈判文件和签署合同所需的所有资料。</w:t>
      </w:r>
    </w:p>
    <w:p w14:paraId="3177F5CB">
      <w:pPr>
        <w:spacing w:line="360" w:lineRule="auto"/>
        <w:ind w:firstLine="420"/>
        <w:rPr>
          <w:rFonts w:hint="eastAsia" w:ascii="宋体" w:hAnsi="宋体"/>
          <w:szCs w:val="21"/>
        </w:rPr>
      </w:pPr>
      <w:r>
        <w:rPr>
          <w:rFonts w:hint="eastAsia" w:ascii="宋体" w:hAnsi="宋体"/>
          <w:szCs w:val="21"/>
        </w:rPr>
        <w:t>1.4.2 供应商踏勘现场发生的费用自理。</w:t>
      </w:r>
    </w:p>
    <w:p w14:paraId="621D28E9">
      <w:pPr>
        <w:spacing w:line="360" w:lineRule="auto"/>
        <w:ind w:firstLine="420"/>
        <w:rPr>
          <w:rFonts w:hint="eastAsia" w:ascii="宋体" w:hAnsi="宋体"/>
          <w:szCs w:val="21"/>
        </w:rPr>
      </w:pPr>
      <w:r>
        <w:rPr>
          <w:rFonts w:hint="eastAsia" w:ascii="宋体" w:hAnsi="宋体"/>
          <w:szCs w:val="21"/>
        </w:rPr>
        <w:t>1.4.3 除采购人的原因外，供应商自行负责在踏勘现场中所发生的人员伤亡和财产损失。</w:t>
      </w:r>
    </w:p>
    <w:p w14:paraId="13B76D61">
      <w:pPr>
        <w:spacing w:line="360" w:lineRule="auto"/>
        <w:rPr>
          <w:rFonts w:hint="eastAsia" w:ascii="宋体" w:hAnsi="宋体"/>
          <w:szCs w:val="21"/>
        </w:rPr>
      </w:pPr>
      <w:r>
        <w:rPr>
          <w:rFonts w:hint="eastAsia" w:ascii="宋体" w:hAnsi="宋体"/>
          <w:szCs w:val="21"/>
        </w:rPr>
        <w:t xml:space="preserve">    1.4.4</w:t>
      </w:r>
      <w:r>
        <w:rPr>
          <w:rFonts w:hint="eastAsia" w:ascii="宋体" w:hAnsi="宋体"/>
          <w:b/>
          <w:bCs/>
          <w:szCs w:val="21"/>
        </w:rPr>
        <w:t xml:space="preserve"> </w:t>
      </w:r>
      <w:r>
        <w:rPr>
          <w:rFonts w:hint="eastAsia" w:ascii="宋体" w:hAnsi="宋体"/>
          <w:szCs w:val="21"/>
        </w:rPr>
        <w:t>未踏勘现场或踏勘工作不详细的供应商成交后，不得以不完全了解现场情况为理由而向采购人提出任何索赔或其他要求，对此采购人不承担任何责任并将不作任何答复。</w:t>
      </w:r>
    </w:p>
    <w:p w14:paraId="7EEBE9F1">
      <w:pPr>
        <w:spacing w:line="340" w:lineRule="exact"/>
        <w:rPr>
          <w:rFonts w:hint="eastAsia" w:ascii="宋体" w:hAnsi="宋体" w:cs="宋体"/>
          <w:b/>
          <w:bCs/>
          <w:szCs w:val="21"/>
        </w:rPr>
      </w:pPr>
      <w:bookmarkStart w:id="44" w:name="_Toc447265227"/>
      <w:bookmarkStart w:id="45" w:name="_Toc447265513"/>
      <w:r>
        <w:rPr>
          <w:rFonts w:hint="eastAsia" w:ascii="宋体" w:hAnsi="宋体" w:cs="宋体"/>
          <w:b/>
          <w:bCs/>
          <w:szCs w:val="21"/>
        </w:rPr>
        <w:t>1.5适用法律及约束力</w:t>
      </w:r>
      <w:bookmarkEnd w:id="44"/>
      <w:bookmarkEnd w:id="45"/>
    </w:p>
    <w:p w14:paraId="3B7ABC3C">
      <w:pPr>
        <w:spacing w:line="360" w:lineRule="auto"/>
        <w:ind w:firstLine="420"/>
        <w:rPr>
          <w:rFonts w:hint="eastAsia" w:ascii="宋体" w:hAnsi="宋体"/>
          <w:szCs w:val="21"/>
        </w:rPr>
      </w:pPr>
      <w:r>
        <w:rPr>
          <w:rFonts w:hint="eastAsia" w:ascii="宋体" w:hAnsi="宋体"/>
          <w:szCs w:val="21"/>
        </w:rPr>
        <w:t>1.5.1供应商一旦参加本次采购活动，即被认为接受了本谈判文件中的所有条款和规定。</w:t>
      </w:r>
    </w:p>
    <w:p w14:paraId="6E942309">
      <w:pPr>
        <w:spacing w:line="360" w:lineRule="auto"/>
        <w:ind w:firstLine="420"/>
        <w:rPr>
          <w:rFonts w:hint="eastAsia" w:ascii="宋体" w:hAnsi="宋体"/>
          <w:szCs w:val="21"/>
        </w:rPr>
      </w:pPr>
      <w:r>
        <w:rPr>
          <w:rFonts w:hint="eastAsia" w:ascii="宋体" w:hAnsi="宋体"/>
          <w:szCs w:val="21"/>
        </w:rPr>
        <w:t>1.5.2 保密原则。参与竞争性谈判活动的各方应当对竞争性谈判文件和响应文件中的商业和技术等秘密保密，违者应当对由此造成的后果承担法律责任。</w:t>
      </w:r>
    </w:p>
    <w:p w14:paraId="4410F6EC">
      <w:pPr>
        <w:pStyle w:val="42"/>
        <w:spacing w:after="0" w:line="340" w:lineRule="exact"/>
        <w:jc w:val="left"/>
        <w:outlineLvl w:val="1"/>
        <w:rPr>
          <w:rFonts w:hint="eastAsia" w:ascii="宋体" w:hAnsi="宋体"/>
          <w:sz w:val="21"/>
          <w:szCs w:val="21"/>
        </w:rPr>
      </w:pPr>
      <w:bookmarkStart w:id="46" w:name="_Toc26556"/>
      <w:bookmarkStart w:id="47" w:name="_Toc296602432"/>
      <w:bookmarkStart w:id="48" w:name="_Toc246996930"/>
      <w:bookmarkStart w:id="49" w:name="_Toc152042318"/>
      <w:bookmarkStart w:id="50" w:name="_Toc247085701"/>
      <w:bookmarkStart w:id="51" w:name="_Toc152045542"/>
      <w:bookmarkStart w:id="52" w:name="_Toc179632560"/>
      <w:bookmarkStart w:id="53" w:name="_Toc144974510"/>
      <w:bookmarkStart w:id="54" w:name="_Toc447265514"/>
      <w:bookmarkStart w:id="55" w:name="_Toc447265228"/>
      <w:bookmarkStart w:id="56" w:name="_Toc246996187"/>
      <w:bookmarkStart w:id="57" w:name="_Toc447188678"/>
      <w:r>
        <w:rPr>
          <w:rFonts w:hint="eastAsia" w:ascii="宋体" w:hAnsi="宋体"/>
          <w:sz w:val="21"/>
          <w:szCs w:val="21"/>
        </w:rPr>
        <w:t>二、竞争性谈判文件</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sz w:val="21"/>
          <w:szCs w:val="21"/>
        </w:rPr>
        <w:t xml:space="preserve"> </w:t>
      </w:r>
    </w:p>
    <w:p w14:paraId="59DD8FE1">
      <w:pPr>
        <w:spacing w:line="340" w:lineRule="exact"/>
        <w:rPr>
          <w:rFonts w:hint="eastAsia" w:ascii="宋体" w:hAnsi="宋体" w:cs="宋体"/>
          <w:b/>
          <w:bCs/>
          <w:szCs w:val="21"/>
        </w:rPr>
      </w:pPr>
      <w:bookmarkStart w:id="58" w:name="_Toc447265229"/>
      <w:bookmarkStart w:id="59" w:name="_Toc447188679"/>
      <w:bookmarkStart w:id="60" w:name="_Toc447265515"/>
      <w:r>
        <w:rPr>
          <w:rFonts w:ascii="宋体" w:hAnsi="宋体" w:cs="宋体"/>
          <w:b/>
          <w:bCs/>
          <w:szCs w:val="21"/>
        </w:rPr>
        <w:t>2.1</w:t>
      </w:r>
      <w:r>
        <w:rPr>
          <w:rFonts w:hint="eastAsia" w:ascii="宋体" w:hAnsi="宋体" w:cs="宋体"/>
          <w:b/>
          <w:bCs/>
          <w:szCs w:val="21"/>
        </w:rPr>
        <w:t>竞争性谈判文件</w:t>
      </w:r>
      <w:bookmarkEnd w:id="41"/>
      <w:r>
        <w:rPr>
          <w:rFonts w:hint="eastAsia" w:ascii="宋体" w:hAnsi="宋体" w:cs="宋体"/>
          <w:b/>
          <w:bCs/>
          <w:szCs w:val="21"/>
        </w:rPr>
        <w:t>的组成</w:t>
      </w:r>
      <w:bookmarkEnd w:id="42"/>
      <w:bookmarkEnd w:id="43"/>
      <w:bookmarkEnd w:id="58"/>
      <w:bookmarkEnd w:id="59"/>
      <w:bookmarkEnd w:id="60"/>
    </w:p>
    <w:p w14:paraId="23E583E8">
      <w:pPr>
        <w:pStyle w:val="22"/>
        <w:tabs>
          <w:tab w:val="left" w:pos="630"/>
        </w:tabs>
        <w:spacing w:line="340" w:lineRule="exact"/>
        <w:ind w:firstLine="424"/>
        <w:rPr>
          <w:rFonts w:hint="eastAsia" w:hAnsi="宋体"/>
          <w:szCs w:val="21"/>
        </w:rPr>
      </w:pPr>
      <w:r>
        <w:rPr>
          <w:rFonts w:hAnsi="宋体"/>
          <w:szCs w:val="21"/>
        </w:rPr>
        <w:t>2.1.1</w:t>
      </w:r>
      <w:r>
        <w:rPr>
          <w:rFonts w:hint="eastAsia" w:hAnsi="宋体"/>
          <w:szCs w:val="21"/>
        </w:rPr>
        <w:t>竞争性谈判文件一般由以下部分以及附件组成：</w:t>
      </w:r>
    </w:p>
    <w:p w14:paraId="3702149A">
      <w:pPr>
        <w:spacing w:line="340" w:lineRule="exact"/>
        <w:ind w:firstLine="424"/>
        <w:rPr>
          <w:rFonts w:hint="eastAsia" w:ascii="宋体" w:hAnsi="宋体" w:cs="宋体"/>
          <w:szCs w:val="21"/>
        </w:rPr>
      </w:pPr>
      <w:r>
        <w:rPr>
          <w:rFonts w:hint="eastAsia" w:ascii="宋体" w:hAnsi="宋体" w:cs="宋体"/>
          <w:szCs w:val="21"/>
        </w:rPr>
        <w:t>第一章</w:t>
      </w:r>
      <w:r>
        <w:rPr>
          <w:rFonts w:ascii="宋体" w:hAnsi="宋体" w:cs="宋体"/>
          <w:szCs w:val="21"/>
        </w:rPr>
        <w:t xml:space="preserve"> </w:t>
      </w:r>
      <w:r>
        <w:rPr>
          <w:rFonts w:hint="eastAsia" w:ascii="宋体" w:hAnsi="宋体" w:cs="宋体"/>
          <w:szCs w:val="21"/>
        </w:rPr>
        <w:t>竞争性谈判公告</w:t>
      </w:r>
      <w:r>
        <w:rPr>
          <w:rFonts w:ascii="宋体" w:hAnsi="宋体" w:cs="宋体"/>
          <w:szCs w:val="21"/>
        </w:rPr>
        <w:t>/</w:t>
      </w:r>
      <w:r>
        <w:rPr>
          <w:rFonts w:hint="eastAsia" w:ascii="宋体" w:hAnsi="宋体" w:cs="宋体"/>
          <w:szCs w:val="21"/>
        </w:rPr>
        <w:t>竞争性谈判</w:t>
      </w:r>
      <w:r>
        <w:rPr>
          <w:rFonts w:ascii="宋体" w:hAnsi="宋体" w:cs="宋体"/>
          <w:szCs w:val="21"/>
        </w:rPr>
        <w:t>邀请书</w:t>
      </w:r>
    </w:p>
    <w:p w14:paraId="65DD300F">
      <w:pPr>
        <w:spacing w:line="340" w:lineRule="exact"/>
        <w:ind w:firstLine="424"/>
        <w:rPr>
          <w:rFonts w:hint="eastAsia" w:ascii="宋体" w:hAnsi="宋体" w:cs="宋体"/>
          <w:szCs w:val="21"/>
        </w:rPr>
      </w:pPr>
      <w:r>
        <w:rPr>
          <w:rFonts w:hint="eastAsia" w:ascii="宋体" w:hAnsi="宋体" w:cs="宋体"/>
          <w:szCs w:val="21"/>
        </w:rPr>
        <w:t>第二章</w:t>
      </w:r>
      <w:r>
        <w:rPr>
          <w:rFonts w:ascii="宋体" w:hAnsi="宋体" w:cs="宋体"/>
          <w:szCs w:val="21"/>
        </w:rPr>
        <w:t xml:space="preserve"> </w:t>
      </w:r>
      <w:r>
        <w:rPr>
          <w:rFonts w:hint="eastAsia" w:ascii="宋体" w:hAnsi="宋体" w:cs="宋体"/>
          <w:szCs w:val="21"/>
        </w:rPr>
        <w:t>供应商须知</w:t>
      </w:r>
    </w:p>
    <w:p w14:paraId="7189A0AA">
      <w:pPr>
        <w:spacing w:line="340" w:lineRule="exact"/>
        <w:ind w:firstLine="424"/>
        <w:rPr>
          <w:rFonts w:hint="eastAsia" w:ascii="宋体" w:hAnsi="宋体" w:cs="宋体"/>
          <w:szCs w:val="21"/>
        </w:rPr>
      </w:pPr>
      <w:r>
        <w:rPr>
          <w:rFonts w:hint="eastAsia" w:ascii="宋体" w:hAnsi="宋体" w:cs="宋体"/>
          <w:szCs w:val="21"/>
        </w:rPr>
        <w:t>第三章</w:t>
      </w:r>
      <w:r>
        <w:rPr>
          <w:rFonts w:ascii="宋体" w:hAnsi="宋体" w:cs="宋体"/>
          <w:szCs w:val="21"/>
        </w:rPr>
        <w:t xml:space="preserve"> </w:t>
      </w:r>
      <w:r>
        <w:rPr>
          <w:rFonts w:hint="eastAsia" w:ascii="宋体" w:hAnsi="宋体" w:cs="宋体"/>
          <w:szCs w:val="21"/>
        </w:rPr>
        <w:t>评审办法</w:t>
      </w:r>
    </w:p>
    <w:p w14:paraId="47E58534">
      <w:pPr>
        <w:spacing w:line="340" w:lineRule="exact"/>
        <w:ind w:firstLine="424"/>
        <w:rPr>
          <w:rFonts w:hint="eastAsia" w:ascii="宋体" w:hAnsi="宋体" w:cs="宋体"/>
          <w:szCs w:val="21"/>
        </w:rPr>
      </w:pPr>
      <w:r>
        <w:rPr>
          <w:rFonts w:hint="eastAsia" w:ascii="宋体" w:hAnsi="宋体" w:cs="宋体"/>
          <w:szCs w:val="21"/>
        </w:rPr>
        <w:t>第四章 合同格式及条款</w:t>
      </w:r>
    </w:p>
    <w:p w14:paraId="4B340803">
      <w:pPr>
        <w:spacing w:line="340" w:lineRule="exact"/>
        <w:ind w:firstLine="424"/>
        <w:rPr>
          <w:rFonts w:hint="eastAsia" w:ascii="宋体" w:hAnsi="宋体" w:cs="宋体"/>
          <w:szCs w:val="21"/>
        </w:rPr>
      </w:pPr>
      <w:r>
        <w:rPr>
          <w:rFonts w:hint="eastAsia" w:ascii="宋体" w:hAnsi="宋体" w:cs="宋体"/>
          <w:szCs w:val="21"/>
        </w:rPr>
        <w:t>第五章 采购需求</w:t>
      </w:r>
    </w:p>
    <w:p w14:paraId="2624390D">
      <w:pPr>
        <w:spacing w:line="360" w:lineRule="auto"/>
        <w:ind w:firstLine="420"/>
        <w:rPr>
          <w:rFonts w:hint="eastAsia" w:ascii="宋体" w:hAnsi="宋体"/>
          <w:szCs w:val="21"/>
        </w:rPr>
      </w:pPr>
      <w:r>
        <w:rPr>
          <w:rFonts w:hint="eastAsia" w:ascii="宋体" w:hAnsi="宋体"/>
          <w:szCs w:val="21"/>
        </w:rPr>
        <w:t>第六章 响应文件格式</w:t>
      </w:r>
    </w:p>
    <w:p w14:paraId="56AD7905">
      <w:pPr>
        <w:spacing w:line="360" w:lineRule="auto"/>
        <w:ind w:firstLine="420"/>
        <w:rPr>
          <w:rFonts w:hint="eastAsia" w:ascii="宋体" w:hAnsi="宋体"/>
          <w:szCs w:val="21"/>
        </w:rPr>
      </w:pPr>
      <w:r>
        <w:rPr>
          <w:rFonts w:hint="eastAsia" w:ascii="宋体" w:hAnsi="宋体"/>
          <w:szCs w:val="21"/>
          <w:u w:val="single"/>
        </w:rPr>
        <w:t>请仔细检查谈判文件是否齐全，如有缺漏请立即与采购人联系解决。</w:t>
      </w:r>
    </w:p>
    <w:p w14:paraId="580891BA">
      <w:pPr>
        <w:spacing w:line="360" w:lineRule="auto"/>
        <w:ind w:firstLine="420"/>
        <w:rPr>
          <w:rFonts w:hint="eastAsia" w:ascii="宋体" w:hAnsi="宋体"/>
          <w:szCs w:val="21"/>
        </w:rPr>
      </w:pPr>
      <w:r>
        <w:rPr>
          <w:rFonts w:hint="eastAsia" w:ascii="宋体" w:hAnsi="宋体"/>
          <w:szCs w:val="21"/>
        </w:rPr>
        <w:t>2.1.2采购人在竞争性谈判文件中以显著的方式标明实质性要求、条件以及不满足实质性要求和条件的文件将被否决的提示。</w:t>
      </w:r>
    </w:p>
    <w:p w14:paraId="5BCB6F66">
      <w:pPr>
        <w:spacing w:line="360" w:lineRule="auto"/>
        <w:ind w:firstLine="420"/>
        <w:rPr>
          <w:rFonts w:hint="eastAsia" w:ascii="宋体" w:hAnsi="宋体"/>
          <w:szCs w:val="21"/>
        </w:rPr>
      </w:pPr>
      <w:r>
        <w:rPr>
          <w:rFonts w:hint="eastAsia" w:ascii="宋体" w:hAnsi="宋体"/>
          <w:szCs w:val="21"/>
        </w:rPr>
        <w:t>2.1.3 供应商应认真阅读谈判文件中所有的事项、格式、条款和规范等要求。如果没有按照谈判文件要求和规定编制谈判响应文件及提交相关资料，其风险应由供应商自行承担。</w:t>
      </w:r>
    </w:p>
    <w:p w14:paraId="267D8C4D">
      <w:pPr>
        <w:spacing w:line="340" w:lineRule="exact"/>
        <w:rPr>
          <w:rFonts w:hint="eastAsia" w:ascii="宋体" w:hAnsi="宋体" w:cs="宋体"/>
          <w:b/>
          <w:bCs/>
          <w:szCs w:val="21"/>
        </w:rPr>
      </w:pPr>
      <w:bookmarkStart w:id="61" w:name="_Toc227057893"/>
      <w:bookmarkStart w:id="62" w:name="_Toc226969287"/>
      <w:bookmarkStart w:id="63" w:name="_Toc107822490"/>
      <w:bookmarkStart w:id="64" w:name="_Toc447265232"/>
      <w:bookmarkStart w:id="65" w:name="_Toc447265518"/>
      <w:bookmarkStart w:id="66" w:name="_Toc447188682"/>
      <w:r>
        <w:rPr>
          <w:rFonts w:ascii="宋体" w:hAnsi="宋体" w:cs="宋体"/>
          <w:b/>
          <w:bCs/>
          <w:szCs w:val="21"/>
        </w:rPr>
        <w:t>2.2</w:t>
      </w:r>
      <w:r>
        <w:rPr>
          <w:rFonts w:hint="eastAsia" w:ascii="宋体" w:hAnsi="宋体" w:cs="宋体"/>
          <w:b/>
          <w:bCs/>
          <w:szCs w:val="21"/>
        </w:rPr>
        <w:t>竞争谈判文件的澄清</w:t>
      </w:r>
      <w:bookmarkEnd w:id="61"/>
      <w:bookmarkEnd w:id="62"/>
      <w:bookmarkEnd w:id="63"/>
      <w:r>
        <w:rPr>
          <w:rFonts w:hint="eastAsia" w:ascii="宋体" w:hAnsi="宋体" w:cs="宋体"/>
          <w:b/>
          <w:bCs/>
          <w:szCs w:val="21"/>
        </w:rPr>
        <w:t>和修改</w:t>
      </w:r>
      <w:bookmarkEnd w:id="64"/>
      <w:bookmarkEnd w:id="65"/>
      <w:bookmarkEnd w:id="66"/>
    </w:p>
    <w:p w14:paraId="397C1D32">
      <w:pPr>
        <w:spacing w:line="360" w:lineRule="auto"/>
        <w:ind w:firstLine="420"/>
        <w:rPr>
          <w:rFonts w:hint="eastAsia" w:ascii="宋体" w:hAnsi="宋体"/>
          <w:szCs w:val="21"/>
        </w:rPr>
      </w:pPr>
      <w:bookmarkStart w:id="67" w:name="_Toc247085705"/>
      <w:bookmarkStart w:id="68" w:name="_Toc246996191"/>
      <w:bookmarkStart w:id="69" w:name="_Toc447265519"/>
      <w:bookmarkStart w:id="70" w:name="_Toc227057895"/>
      <w:bookmarkStart w:id="71" w:name="_Toc107822492"/>
      <w:bookmarkStart w:id="72" w:name="_Toc296602436"/>
      <w:bookmarkStart w:id="73" w:name="_Toc447188683"/>
      <w:bookmarkStart w:id="74" w:name="_Toc152042322"/>
      <w:bookmarkStart w:id="75" w:name="_Toc144974514"/>
      <w:bookmarkStart w:id="76" w:name="_Toc152045546"/>
      <w:bookmarkStart w:id="77" w:name="_Toc179632564"/>
      <w:bookmarkStart w:id="78" w:name="_Toc246996934"/>
      <w:bookmarkStart w:id="79" w:name="_Toc447265233"/>
      <w:bookmarkStart w:id="80" w:name="_Toc226969289"/>
      <w:r>
        <w:rPr>
          <w:rFonts w:hint="eastAsia" w:ascii="宋体" w:hAnsi="宋体"/>
          <w:szCs w:val="21"/>
        </w:rPr>
        <w:t>2.2.1 在谈判日期截止日前的任何时候，无论出于何种原因，采购人均可主动地或在解答供应商提出的澄清问题时对谈判文件进行修改。</w:t>
      </w:r>
    </w:p>
    <w:p w14:paraId="6978DBFB">
      <w:pPr>
        <w:spacing w:line="360" w:lineRule="auto"/>
        <w:ind w:firstLine="420"/>
        <w:rPr>
          <w:rFonts w:hint="eastAsia" w:hAnsi="宋体"/>
          <w:szCs w:val="21"/>
        </w:rPr>
      </w:pPr>
      <w:r>
        <w:rPr>
          <w:rFonts w:hint="eastAsia" w:ascii="宋体" w:hAnsi="宋体"/>
          <w:szCs w:val="21"/>
        </w:rPr>
        <w:t>2.2.2 为使供应商编写谈判响应文件有充分的时间对谈判文件的修改部分进行分析、研究或其它采购具体情况，采购人有权推迟谈判时间，并将此时间变更通知所有登记领取谈判文件的供应商。</w:t>
      </w:r>
      <w:bookmarkEnd w:id="23"/>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C9C1DB3">
      <w:pPr>
        <w:pStyle w:val="42"/>
        <w:tabs>
          <w:tab w:val="left" w:pos="283"/>
        </w:tabs>
        <w:spacing w:after="0" w:line="340" w:lineRule="exact"/>
        <w:jc w:val="left"/>
        <w:outlineLvl w:val="1"/>
        <w:rPr>
          <w:rFonts w:hint="eastAsia" w:ascii="宋体" w:hAnsi="宋体"/>
          <w:sz w:val="21"/>
          <w:szCs w:val="21"/>
        </w:rPr>
      </w:pPr>
      <w:bookmarkStart w:id="81" w:name="_Toc98669341"/>
      <w:bookmarkStart w:id="82" w:name="_Toc92168010"/>
      <w:bookmarkStart w:id="83" w:name="_Toc101264824"/>
      <w:bookmarkStart w:id="84" w:name="_Toc98669699"/>
      <w:bookmarkStart w:id="85" w:name="_Toc20732978"/>
      <w:r>
        <w:rPr>
          <w:rFonts w:hint="eastAsia" w:ascii="宋体" w:hAnsi="宋体"/>
          <w:sz w:val="21"/>
          <w:szCs w:val="21"/>
        </w:rPr>
        <w:t>三、谈判响应文件的编制</w:t>
      </w:r>
      <w:bookmarkEnd w:id="81"/>
      <w:bookmarkEnd w:id="82"/>
      <w:bookmarkEnd w:id="83"/>
      <w:bookmarkEnd w:id="84"/>
      <w:bookmarkEnd w:id="85"/>
    </w:p>
    <w:p w14:paraId="6C2C3CFB">
      <w:pPr>
        <w:spacing w:line="340" w:lineRule="exact"/>
        <w:rPr>
          <w:rFonts w:hint="eastAsia" w:ascii="宋体" w:hAnsi="宋体" w:cs="宋体"/>
          <w:b/>
          <w:bCs/>
          <w:szCs w:val="21"/>
        </w:rPr>
      </w:pPr>
      <w:bookmarkStart w:id="86" w:name="_Toc101264825"/>
      <w:bookmarkStart w:id="87" w:name="_Toc98669700"/>
      <w:bookmarkStart w:id="88" w:name="_Toc98669342"/>
      <w:bookmarkStart w:id="89" w:name="_Toc92168011"/>
      <w:bookmarkStart w:id="90" w:name="_Toc20732979"/>
      <w:r>
        <w:rPr>
          <w:rFonts w:hint="eastAsia" w:ascii="宋体" w:hAnsi="宋体" w:cs="宋体"/>
          <w:b/>
          <w:bCs/>
          <w:szCs w:val="21"/>
        </w:rPr>
        <w:t>3.1、谈判响应文件的编写</w:t>
      </w:r>
      <w:bookmarkEnd w:id="86"/>
      <w:bookmarkEnd w:id="87"/>
      <w:bookmarkEnd w:id="88"/>
      <w:bookmarkEnd w:id="89"/>
      <w:bookmarkEnd w:id="90"/>
    </w:p>
    <w:p w14:paraId="782C6B08">
      <w:pPr>
        <w:spacing w:line="360" w:lineRule="auto"/>
        <w:ind w:left="263" w:firstLine="315"/>
        <w:rPr>
          <w:rFonts w:hint="eastAsia" w:ascii="宋体" w:hAnsi="宋体" w:cs="宋体"/>
          <w:bCs/>
          <w:szCs w:val="21"/>
        </w:rPr>
      </w:pPr>
      <w:r>
        <w:rPr>
          <w:rFonts w:hint="eastAsia" w:ascii="宋体" w:hAnsi="宋体" w:cs="宋体"/>
          <w:bCs/>
          <w:szCs w:val="21"/>
        </w:rPr>
        <w:t>3.1.1供应商应仔细阅读谈判文件，了解谈判文件的要求。在完全了解谈判文件规定的项目要求后，编制谈判响应文件。</w:t>
      </w:r>
      <w:bookmarkStart w:id="91" w:name="_Toc98669343"/>
      <w:bookmarkStart w:id="92" w:name="_Toc20732980"/>
      <w:bookmarkStart w:id="93" w:name="_Toc98669701"/>
      <w:bookmarkStart w:id="94" w:name="_Toc92168012"/>
      <w:bookmarkStart w:id="95" w:name="_Toc101264826"/>
    </w:p>
    <w:p w14:paraId="5B1309DD">
      <w:pPr>
        <w:spacing w:line="360" w:lineRule="auto"/>
        <w:ind w:left="263" w:firstLine="315"/>
        <w:rPr>
          <w:rFonts w:hint="eastAsia" w:ascii="宋体" w:hAnsi="宋体" w:cs="宋体"/>
          <w:bCs/>
          <w:szCs w:val="21"/>
        </w:rPr>
      </w:pPr>
      <w:r>
        <w:rPr>
          <w:rFonts w:hint="eastAsia" w:ascii="宋体" w:hAnsi="宋体" w:cs="宋体"/>
          <w:bCs/>
          <w:szCs w:val="21"/>
        </w:rPr>
        <w:t>3.1.2 谈判响应文件的正本和所有的副本均装订成册。凡修改处（书写应清楚工整）</w:t>
      </w:r>
      <w:r>
        <w:rPr>
          <w:rFonts w:hint="eastAsia" w:ascii="宋体" w:hAnsi="宋体" w:cs="宋体"/>
          <w:b/>
          <w:bCs/>
          <w:szCs w:val="21"/>
          <w:u w:val="single"/>
        </w:rPr>
        <w:t>必须加盖供应商公章</w:t>
      </w:r>
      <w:r>
        <w:rPr>
          <w:rFonts w:hint="eastAsia" w:ascii="宋体" w:hAnsi="宋体" w:cs="宋体"/>
          <w:bCs/>
          <w:szCs w:val="21"/>
        </w:rPr>
        <w:t>。</w:t>
      </w:r>
    </w:p>
    <w:p w14:paraId="046E5C26">
      <w:pPr>
        <w:spacing w:line="360" w:lineRule="auto"/>
        <w:ind w:left="263" w:firstLine="315"/>
        <w:rPr>
          <w:rFonts w:hint="eastAsia" w:ascii="宋体" w:hAnsi="宋体" w:cs="宋体"/>
          <w:bCs/>
          <w:szCs w:val="21"/>
        </w:rPr>
      </w:pPr>
      <w:r>
        <w:rPr>
          <w:rFonts w:hint="eastAsia" w:ascii="宋体" w:hAnsi="宋体" w:cs="宋体"/>
          <w:bCs/>
          <w:szCs w:val="21"/>
        </w:rPr>
        <w:t>3.1.3</w:t>
      </w:r>
      <w:r>
        <w:rPr>
          <w:rFonts w:hint="eastAsia" w:ascii="宋体" w:hAnsi="宋体" w:cs="宋体"/>
          <w:b/>
          <w:bCs/>
          <w:szCs w:val="21"/>
          <w:u w:val="single"/>
        </w:rPr>
        <w:t>谈判响应文件需提供详细的目录，并按顺序编写页码，谈判响应文件需胶装，谈判响应文件须双面打印。</w:t>
      </w:r>
    </w:p>
    <w:p w14:paraId="18D1D0C2">
      <w:pPr>
        <w:spacing w:line="360" w:lineRule="auto"/>
        <w:ind w:left="263" w:firstLine="315"/>
        <w:rPr>
          <w:rFonts w:hint="eastAsia" w:ascii="宋体" w:hAnsi="宋体" w:cs="宋体"/>
          <w:bCs/>
          <w:szCs w:val="21"/>
        </w:rPr>
      </w:pPr>
      <w:r>
        <w:rPr>
          <w:rFonts w:hint="eastAsia" w:ascii="宋体" w:hAnsi="宋体" w:cs="宋体"/>
          <w:bCs/>
          <w:szCs w:val="21"/>
        </w:rPr>
        <w:t>3.1.4 谈判响应文件应有</w:t>
      </w:r>
      <w:r>
        <w:rPr>
          <w:rFonts w:hint="eastAsia" w:ascii="宋体" w:hAnsi="宋体" w:cs="宋体"/>
          <w:b/>
          <w:bCs/>
          <w:szCs w:val="21"/>
          <w:u w:val="single"/>
        </w:rPr>
        <w:t>供应商法定代表人或其授权委托代理人</w:t>
      </w:r>
      <w:r>
        <w:rPr>
          <w:rFonts w:hint="eastAsia" w:ascii="宋体" w:hAnsi="宋体" w:cs="宋体"/>
          <w:bCs/>
          <w:szCs w:val="21"/>
        </w:rPr>
        <w:t>在规定签章处</w:t>
      </w:r>
      <w:r>
        <w:rPr>
          <w:rFonts w:hint="eastAsia" w:ascii="宋体" w:hAnsi="宋体" w:cs="宋体"/>
          <w:b/>
          <w:bCs/>
          <w:szCs w:val="21"/>
          <w:u w:val="single"/>
        </w:rPr>
        <w:t>逐一签署及加盖供应商的公章</w:t>
      </w:r>
      <w:r>
        <w:rPr>
          <w:rFonts w:hint="eastAsia" w:ascii="宋体" w:hAnsi="宋体" w:cs="宋体"/>
          <w:bCs/>
          <w:szCs w:val="21"/>
        </w:rPr>
        <w:t>（副本的签字可以是复印的）。</w:t>
      </w:r>
    </w:p>
    <w:p w14:paraId="444269BC">
      <w:pPr>
        <w:spacing w:line="360" w:lineRule="auto"/>
        <w:ind w:left="263" w:firstLine="315"/>
        <w:rPr>
          <w:rFonts w:hint="eastAsia" w:ascii="楷体" w:hAnsi="楷体" w:eastAsia="楷体"/>
          <w:b/>
          <w:sz w:val="10"/>
          <w:szCs w:val="10"/>
        </w:rPr>
      </w:pPr>
      <w:r>
        <w:rPr>
          <w:rFonts w:hint="eastAsia" w:ascii="宋体" w:hAnsi="宋体" w:cs="宋体"/>
          <w:bCs/>
          <w:szCs w:val="21"/>
        </w:rPr>
        <w:t>3.1.5谈判响应文件的份数：以第一章节相关要求为准。</w:t>
      </w:r>
    </w:p>
    <w:p w14:paraId="42DF212C">
      <w:pPr>
        <w:spacing w:line="340" w:lineRule="exact"/>
        <w:rPr>
          <w:rFonts w:hint="eastAsia" w:ascii="宋体" w:hAnsi="宋体" w:cs="宋体"/>
          <w:b/>
          <w:bCs/>
          <w:szCs w:val="21"/>
        </w:rPr>
      </w:pPr>
      <w:r>
        <w:rPr>
          <w:rFonts w:hint="eastAsia" w:ascii="宋体" w:hAnsi="宋体" w:cs="宋体"/>
          <w:b/>
          <w:bCs/>
          <w:szCs w:val="21"/>
        </w:rPr>
        <w:t>3.2、谈判响应语言及度量衡单位</w:t>
      </w:r>
      <w:bookmarkEnd w:id="91"/>
      <w:bookmarkEnd w:id="92"/>
      <w:bookmarkEnd w:id="93"/>
      <w:bookmarkEnd w:id="94"/>
      <w:bookmarkEnd w:id="95"/>
    </w:p>
    <w:p w14:paraId="05086097">
      <w:pPr>
        <w:spacing w:line="360" w:lineRule="auto"/>
        <w:ind w:left="281" w:firstLine="315"/>
        <w:rPr>
          <w:rFonts w:hint="eastAsia" w:ascii="宋体" w:hAnsi="宋体" w:cs="宋体"/>
          <w:bCs/>
          <w:szCs w:val="21"/>
        </w:rPr>
      </w:pPr>
      <w:r>
        <w:rPr>
          <w:rFonts w:hint="eastAsia" w:ascii="宋体" w:hAnsi="宋体" w:cs="宋体"/>
          <w:bCs/>
          <w:szCs w:val="21"/>
        </w:rPr>
        <w:t>3.2.1供应商的谈判响应文件以及供应商就有关谈判的所有来往函电均应使用中文。</w:t>
      </w:r>
    </w:p>
    <w:p w14:paraId="2D6E3EE6">
      <w:pPr>
        <w:spacing w:line="360" w:lineRule="auto"/>
        <w:ind w:left="281" w:firstLine="315"/>
        <w:rPr>
          <w:rFonts w:hint="eastAsia" w:ascii="宋体" w:hAnsi="宋体" w:cs="宋体"/>
          <w:bCs/>
          <w:szCs w:val="21"/>
        </w:rPr>
      </w:pPr>
      <w:r>
        <w:rPr>
          <w:rFonts w:hint="eastAsia" w:ascii="宋体" w:hAnsi="宋体" w:cs="宋体"/>
          <w:bCs/>
          <w:szCs w:val="21"/>
        </w:rPr>
        <w:t>3.2.2谈判响应文件中所使用的计量单位除谈判文件中有特殊规定外，一律使用法定计量单位。</w:t>
      </w:r>
    </w:p>
    <w:p w14:paraId="796FC050">
      <w:pPr>
        <w:spacing w:line="340" w:lineRule="exact"/>
        <w:rPr>
          <w:rFonts w:hint="eastAsia" w:ascii="宋体" w:hAnsi="宋体" w:cs="宋体"/>
          <w:b/>
          <w:bCs/>
          <w:szCs w:val="21"/>
        </w:rPr>
      </w:pPr>
      <w:bookmarkStart w:id="96" w:name="_Toc98669344"/>
      <w:bookmarkStart w:id="97" w:name="_Toc98669702"/>
      <w:bookmarkStart w:id="98" w:name="_Toc20732981"/>
      <w:bookmarkStart w:id="99" w:name="_Toc101264827"/>
      <w:bookmarkStart w:id="100" w:name="_Toc92168013"/>
      <w:r>
        <w:rPr>
          <w:rFonts w:hint="eastAsia" w:ascii="宋体" w:hAnsi="宋体" w:cs="宋体"/>
          <w:b/>
          <w:bCs/>
          <w:szCs w:val="21"/>
        </w:rPr>
        <w:t>3.3、谈判响应文件构成</w:t>
      </w:r>
      <w:bookmarkEnd w:id="96"/>
      <w:bookmarkEnd w:id="97"/>
      <w:bookmarkEnd w:id="98"/>
      <w:bookmarkEnd w:id="99"/>
      <w:bookmarkEnd w:id="100"/>
    </w:p>
    <w:p w14:paraId="4F31B732">
      <w:pPr>
        <w:spacing w:line="360" w:lineRule="auto"/>
        <w:ind w:left="479"/>
        <w:rPr>
          <w:rFonts w:hint="eastAsia" w:ascii="宋体" w:hAnsi="宋体" w:cs="宋体"/>
          <w:bCs/>
          <w:szCs w:val="21"/>
          <w:u w:val="single"/>
        </w:rPr>
      </w:pPr>
      <w:r>
        <w:rPr>
          <w:rFonts w:hint="eastAsia" w:ascii="宋体" w:hAnsi="宋体" w:cs="宋体"/>
          <w:bCs/>
          <w:szCs w:val="21"/>
        </w:rPr>
        <w:t>3.3.1</w:t>
      </w:r>
      <w:r>
        <w:rPr>
          <w:rFonts w:hint="eastAsia" w:ascii="宋体" w:hAnsi="宋体" w:cs="宋体"/>
          <w:bCs/>
          <w:szCs w:val="21"/>
          <w:u w:val="single"/>
        </w:rPr>
        <w:t>供应商编写的谈判响应文件应包括下列部分：</w:t>
      </w:r>
    </w:p>
    <w:p w14:paraId="414DD600">
      <w:pPr>
        <w:spacing w:line="360" w:lineRule="auto"/>
        <w:ind w:left="424"/>
        <w:rPr>
          <w:rFonts w:hint="eastAsia" w:ascii="宋体" w:hAnsi="宋体" w:cs="宋体"/>
          <w:szCs w:val="21"/>
        </w:rPr>
      </w:pPr>
      <w:r>
        <w:rPr>
          <w:rFonts w:hint="eastAsia" w:ascii="宋体" w:hAnsi="宋体" w:cs="宋体"/>
          <w:szCs w:val="21"/>
        </w:rPr>
        <w:t>（1）按照第3.3、3.4条要求填写的谈判承诺函、谈判报价，证明其提供的工程服务符合谈判文件的规定。</w:t>
      </w:r>
    </w:p>
    <w:p w14:paraId="621799DC">
      <w:pPr>
        <w:spacing w:line="360" w:lineRule="auto"/>
        <w:ind w:left="424"/>
        <w:rPr>
          <w:rFonts w:hint="eastAsia" w:ascii="宋体" w:hAnsi="宋体" w:cs="宋体"/>
          <w:szCs w:val="21"/>
        </w:rPr>
      </w:pPr>
      <w:r>
        <w:rPr>
          <w:rFonts w:hint="eastAsia" w:ascii="宋体" w:hAnsi="宋体" w:cs="宋体"/>
          <w:szCs w:val="21"/>
        </w:rPr>
        <w:t>（2）按照第3.6条要求出具的技术及服务文件，证明其成交后有能力履行合同。</w:t>
      </w:r>
    </w:p>
    <w:p w14:paraId="3E768149">
      <w:pPr>
        <w:spacing w:line="360" w:lineRule="auto"/>
        <w:ind w:left="424"/>
        <w:rPr>
          <w:rFonts w:hint="eastAsia" w:ascii="宋体" w:hAnsi="宋体" w:cs="宋体"/>
          <w:szCs w:val="21"/>
        </w:rPr>
      </w:pPr>
      <w:r>
        <w:rPr>
          <w:rFonts w:hint="eastAsia" w:ascii="宋体" w:hAnsi="宋体" w:cs="宋体"/>
          <w:szCs w:val="21"/>
        </w:rPr>
        <w:t>（3）按照第3.7条要求出具的资格证明文件，证明其资格符合谈判文件的规定。</w:t>
      </w:r>
    </w:p>
    <w:p w14:paraId="634AAABA">
      <w:pPr>
        <w:spacing w:line="360" w:lineRule="auto"/>
        <w:ind w:left="424"/>
        <w:rPr>
          <w:rFonts w:hint="eastAsia" w:ascii="宋体" w:hAnsi="宋体" w:cs="宋体"/>
          <w:szCs w:val="21"/>
        </w:rPr>
      </w:pPr>
      <w:r>
        <w:rPr>
          <w:rFonts w:hint="eastAsia" w:ascii="宋体" w:hAnsi="宋体" w:cs="宋体"/>
          <w:szCs w:val="21"/>
        </w:rPr>
        <w:t>（4）具体填写格式详见谈判文件第六章。</w:t>
      </w:r>
    </w:p>
    <w:p w14:paraId="4284A046">
      <w:pPr>
        <w:spacing w:line="340" w:lineRule="exact"/>
        <w:rPr>
          <w:rFonts w:hint="eastAsia" w:ascii="宋体" w:hAnsi="宋体" w:cs="宋体"/>
          <w:b/>
          <w:bCs/>
          <w:szCs w:val="21"/>
        </w:rPr>
      </w:pPr>
      <w:bookmarkStart w:id="101" w:name="_Toc98669703"/>
      <w:bookmarkStart w:id="102" w:name="_Toc20732982"/>
      <w:bookmarkStart w:id="103" w:name="_Toc101264828"/>
      <w:bookmarkStart w:id="104" w:name="_Toc98669345"/>
      <w:bookmarkStart w:id="105" w:name="_Toc92168014"/>
      <w:r>
        <w:rPr>
          <w:rFonts w:hint="eastAsia" w:ascii="宋体" w:hAnsi="宋体" w:cs="宋体"/>
          <w:b/>
          <w:bCs/>
          <w:szCs w:val="21"/>
        </w:rPr>
        <w:t>3.4、</w:t>
      </w:r>
      <w:bookmarkEnd w:id="101"/>
      <w:bookmarkEnd w:id="102"/>
      <w:bookmarkEnd w:id="103"/>
      <w:bookmarkEnd w:id="104"/>
      <w:bookmarkEnd w:id="105"/>
      <w:r>
        <w:rPr>
          <w:rFonts w:hint="eastAsia" w:ascii="宋体" w:hAnsi="宋体" w:cs="宋体"/>
          <w:b/>
          <w:bCs/>
          <w:szCs w:val="21"/>
        </w:rPr>
        <w:t>谈判承诺函</w:t>
      </w:r>
    </w:p>
    <w:p w14:paraId="75057D2F">
      <w:pPr>
        <w:spacing w:line="360" w:lineRule="auto"/>
        <w:ind w:left="479"/>
        <w:rPr>
          <w:rFonts w:hint="eastAsia" w:ascii="宋体" w:hAnsi="宋体" w:cs="宋体"/>
          <w:bCs/>
          <w:szCs w:val="21"/>
        </w:rPr>
      </w:pPr>
      <w:r>
        <w:rPr>
          <w:rFonts w:hint="eastAsia" w:ascii="宋体" w:hAnsi="宋体" w:cs="宋体"/>
          <w:szCs w:val="21"/>
        </w:rPr>
        <w:t>3.4.1 供应商应按照谈判文件中提供的“谈判承诺函（格式）”要求填写。</w:t>
      </w:r>
    </w:p>
    <w:p w14:paraId="6EA07985">
      <w:pPr>
        <w:spacing w:line="340" w:lineRule="exact"/>
        <w:rPr>
          <w:rFonts w:hint="eastAsia" w:ascii="宋体" w:hAnsi="宋体" w:cs="宋体"/>
          <w:b/>
          <w:bCs/>
          <w:szCs w:val="21"/>
        </w:rPr>
      </w:pPr>
      <w:bookmarkStart w:id="106" w:name="_Toc92168015"/>
      <w:bookmarkStart w:id="107" w:name="_Toc98669704"/>
      <w:bookmarkStart w:id="108" w:name="_Toc101264829"/>
      <w:bookmarkStart w:id="109" w:name="_Toc20732983"/>
      <w:bookmarkStart w:id="110" w:name="_Toc98669346"/>
      <w:r>
        <w:rPr>
          <w:rFonts w:hint="eastAsia" w:ascii="宋体" w:hAnsi="宋体" w:cs="宋体"/>
          <w:b/>
          <w:bCs/>
          <w:szCs w:val="21"/>
        </w:rPr>
        <w:t>3.5、谈判报价</w:t>
      </w:r>
      <w:bookmarkEnd w:id="106"/>
      <w:bookmarkEnd w:id="107"/>
      <w:bookmarkEnd w:id="108"/>
      <w:bookmarkEnd w:id="109"/>
      <w:bookmarkEnd w:id="110"/>
    </w:p>
    <w:p w14:paraId="1D62D07D">
      <w:pPr>
        <w:spacing w:line="360" w:lineRule="auto"/>
        <w:ind w:left="141" w:firstLine="315"/>
        <w:rPr>
          <w:rFonts w:hint="eastAsia" w:ascii="宋体" w:hAnsi="宋体" w:cs="宋体"/>
          <w:bCs/>
          <w:szCs w:val="21"/>
        </w:rPr>
      </w:pPr>
      <w:r>
        <w:rPr>
          <w:rFonts w:hint="eastAsia" w:ascii="宋体" w:hAnsi="宋体" w:cs="宋体"/>
          <w:bCs/>
          <w:szCs w:val="21"/>
        </w:rPr>
        <w:t>3.5.1谈判响应文件应以人民币报价（保留至小数点后 2 位，四舍五入）。</w:t>
      </w:r>
    </w:p>
    <w:p w14:paraId="72E517E9">
      <w:pPr>
        <w:spacing w:line="360" w:lineRule="auto"/>
        <w:ind w:left="141" w:firstLine="315"/>
        <w:rPr>
          <w:rFonts w:hint="eastAsia" w:ascii="宋体" w:hAnsi="宋体" w:cs="宋体"/>
          <w:bCs/>
          <w:szCs w:val="21"/>
        </w:rPr>
      </w:pPr>
      <w:r>
        <w:rPr>
          <w:rFonts w:hint="eastAsia" w:ascii="宋体" w:hAnsi="宋体" w:cs="宋体"/>
          <w:bCs/>
          <w:szCs w:val="21"/>
        </w:rPr>
        <w:t>3.5.2 供应商应按谈判文件要求的报价表格式进行报价。</w:t>
      </w:r>
    </w:p>
    <w:p w14:paraId="59D330F1">
      <w:pPr>
        <w:spacing w:line="360" w:lineRule="auto"/>
        <w:ind w:left="141" w:firstLine="315"/>
        <w:rPr>
          <w:rFonts w:hint="eastAsia" w:ascii="宋体" w:hAnsi="宋体" w:cs="宋体"/>
          <w:b/>
          <w:szCs w:val="21"/>
        </w:rPr>
      </w:pPr>
      <w:r>
        <w:rPr>
          <w:rFonts w:hint="eastAsia" w:ascii="宋体" w:hAnsi="宋体" w:cs="宋体"/>
          <w:bCs/>
          <w:szCs w:val="21"/>
        </w:rPr>
        <w:t>3.5.3供应商对本项目应报出具有竞争力的价格。本工程项目采用工程量清单报价方式，供应商应根据谈判文件所提供的工程量清单并充分考虑施工现场状况、施工期间各种建材的市场风险和国家政策性调整风险系数等，计算综合单价， 综合单价成交后不作调整。合同价款调整方法在合同中约定。</w:t>
      </w:r>
    </w:p>
    <w:p w14:paraId="16096B97">
      <w:pPr>
        <w:spacing w:line="360" w:lineRule="auto"/>
        <w:ind w:left="141" w:firstLine="315"/>
        <w:rPr>
          <w:rFonts w:hint="eastAsia" w:ascii="宋体" w:hAnsi="宋体" w:cs="宋体"/>
          <w:bCs/>
          <w:szCs w:val="21"/>
        </w:rPr>
      </w:pPr>
      <w:r>
        <w:rPr>
          <w:rFonts w:hint="eastAsia" w:ascii="宋体" w:hAnsi="宋体" w:cs="宋体"/>
          <w:bCs/>
          <w:szCs w:val="21"/>
        </w:rPr>
        <w:t>3.5.4 每种工程量只允许有一种报价，任何有选择报价将不予接受。供应商必须对谈判文件中所采购的所有工程量进行报价，只报其中部分工程量的谈判响应文件无效。</w:t>
      </w:r>
    </w:p>
    <w:p w14:paraId="027131C3">
      <w:pPr>
        <w:spacing w:line="360" w:lineRule="auto"/>
        <w:ind w:left="141" w:firstLine="315"/>
        <w:rPr>
          <w:rFonts w:hint="eastAsia" w:ascii="宋体" w:hAnsi="宋体" w:cs="宋体"/>
          <w:bCs/>
          <w:szCs w:val="21"/>
        </w:rPr>
      </w:pPr>
      <w:r>
        <w:rPr>
          <w:rFonts w:hint="eastAsia" w:ascii="宋体" w:hAnsi="宋体" w:cs="宋体"/>
          <w:bCs/>
          <w:szCs w:val="21"/>
        </w:rPr>
        <w:t>3.5.5供应商不得将以下不可竞争费用降低标准计取：（1）财政、税收、物价等部门批准的税金和行政性规费；（2）谈判文件明确的有关费用比例；（3）谈判文件中已经明确固定价格的材料、采购人供应的材料及暂定暂估的费用。</w:t>
      </w:r>
    </w:p>
    <w:p w14:paraId="4B8EB844">
      <w:pPr>
        <w:spacing w:line="360" w:lineRule="auto"/>
        <w:ind w:left="141" w:firstLine="315"/>
        <w:rPr>
          <w:rFonts w:hint="eastAsia" w:ascii="宋体" w:hAnsi="宋体" w:cs="宋体"/>
          <w:bCs/>
          <w:szCs w:val="21"/>
        </w:rPr>
      </w:pPr>
      <w:r>
        <w:rPr>
          <w:rFonts w:hint="eastAsia" w:ascii="宋体" w:hAnsi="宋体" w:cs="宋体"/>
          <w:bCs/>
          <w:szCs w:val="21"/>
        </w:rPr>
        <w:t>3.5.6 供应商应按工程量清单中列出的工程项目填报单价和合价，供应商未填单价或合价或未列出的工程项目，视作未响应谈判文件，作无效响应（废标）处理。</w:t>
      </w:r>
    </w:p>
    <w:p w14:paraId="3D3FEBE9">
      <w:pPr>
        <w:spacing w:line="360" w:lineRule="auto"/>
        <w:ind w:left="141" w:firstLine="315"/>
        <w:rPr>
          <w:rFonts w:hint="eastAsia" w:ascii="宋体" w:hAnsi="宋体" w:cs="宋体"/>
          <w:bCs/>
          <w:szCs w:val="21"/>
        </w:rPr>
      </w:pPr>
      <w:r>
        <w:rPr>
          <w:rFonts w:hint="eastAsia" w:ascii="宋体" w:hAnsi="宋体" w:cs="宋体"/>
          <w:bCs/>
          <w:szCs w:val="21"/>
        </w:rPr>
        <w:t>3.5.7 其他项目清单主要体现采购人提出的一些与拟建工程有关的特殊要求，但其中的暂列金额为估算价，虽在报价时计入总价，但不视为供应商所有。</w:t>
      </w:r>
    </w:p>
    <w:p w14:paraId="584A2701">
      <w:pPr>
        <w:spacing w:line="360" w:lineRule="auto"/>
        <w:ind w:left="141" w:firstLine="315"/>
        <w:rPr>
          <w:rFonts w:hint="eastAsia" w:ascii="宋体" w:hAnsi="宋体" w:cs="宋体"/>
          <w:bCs/>
          <w:szCs w:val="21"/>
        </w:rPr>
      </w:pPr>
      <w:r>
        <w:rPr>
          <w:rFonts w:hint="eastAsia" w:ascii="宋体" w:hAnsi="宋体" w:cs="宋体"/>
          <w:bCs/>
          <w:szCs w:val="21"/>
        </w:rPr>
        <w:t>3.5.8 供应商应按谈判文件的要求在响应文件里提供谈判首轮报价，并在所附的明细报价表上列明所提供工程的明细报价。</w:t>
      </w:r>
    </w:p>
    <w:p w14:paraId="2FC737A4">
      <w:pPr>
        <w:spacing w:line="360" w:lineRule="auto"/>
        <w:ind w:left="141" w:firstLine="315"/>
        <w:rPr>
          <w:rFonts w:hint="eastAsia" w:ascii="宋体" w:hAnsi="宋体" w:cs="宋体"/>
          <w:bCs/>
          <w:szCs w:val="21"/>
        </w:rPr>
      </w:pPr>
      <w:r>
        <w:rPr>
          <w:rFonts w:hint="eastAsia" w:ascii="宋体" w:hAnsi="宋体" w:cs="宋体"/>
          <w:bCs/>
          <w:szCs w:val="21"/>
        </w:rPr>
        <w:t>3.5.9供应商需另行准备已加盖好公章的空白“最终报价表”，以备谈判结束后在规定的时间内填报最终报价。</w:t>
      </w:r>
    </w:p>
    <w:p w14:paraId="08AE6619">
      <w:pPr>
        <w:spacing w:line="360" w:lineRule="auto"/>
        <w:ind w:left="141" w:firstLine="315"/>
        <w:rPr>
          <w:rFonts w:hint="eastAsia" w:ascii="宋体" w:hAnsi="宋体" w:cs="宋体"/>
          <w:bCs/>
          <w:szCs w:val="21"/>
        </w:rPr>
      </w:pPr>
      <w:r>
        <w:rPr>
          <w:rFonts w:hint="eastAsia" w:ascii="宋体" w:hAnsi="宋体" w:cs="宋体"/>
          <w:bCs/>
          <w:szCs w:val="21"/>
        </w:rPr>
        <w:t>3.5.10 实质性响应的供应商应按谈判小组要求在规定时间提交最后报价。供应商需根据采购需求及自身经验填写明细报价。未在规定时间内提交最后报价的，以其首轮报价作为最后报价。</w:t>
      </w:r>
    </w:p>
    <w:p w14:paraId="258F868E">
      <w:pPr>
        <w:spacing w:line="360" w:lineRule="auto"/>
        <w:ind w:left="141" w:firstLine="315"/>
        <w:rPr>
          <w:rFonts w:hint="eastAsia" w:ascii="宋体" w:hAnsi="宋体" w:cs="宋体"/>
          <w:bCs/>
          <w:szCs w:val="21"/>
        </w:rPr>
      </w:pPr>
      <w:r>
        <w:rPr>
          <w:rFonts w:hint="eastAsia" w:ascii="宋体" w:hAnsi="宋体" w:cs="宋体"/>
          <w:bCs/>
          <w:szCs w:val="21"/>
        </w:rPr>
        <w:t>3.5.11 在谈判过程中未对谈判内容作出实质性变更、修改的情况下，如最后报价超过首轮报价，则以其首轮报价作为最后报价。</w:t>
      </w:r>
    </w:p>
    <w:p w14:paraId="0E29B547">
      <w:pPr>
        <w:spacing w:line="360" w:lineRule="auto"/>
        <w:ind w:left="141" w:firstLine="315"/>
        <w:rPr>
          <w:rFonts w:hint="eastAsia" w:ascii="宋体" w:hAnsi="宋体" w:cs="宋体"/>
          <w:bCs/>
          <w:szCs w:val="21"/>
        </w:rPr>
      </w:pPr>
      <w:r>
        <w:rPr>
          <w:rFonts w:hint="eastAsia" w:ascii="宋体" w:hAnsi="宋体" w:cs="宋体"/>
          <w:bCs/>
          <w:szCs w:val="21"/>
        </w:rPr>
        <w:t>3.5.12在谈判过程中评审委员会启动异常低价投标（响应）审查的情形和具体要求，包括：</w:t>
      </w:r>
    </w:p>
    <w:p w14:paraId="711C2767">
      <w:pPr>
        <w:spacing w:line="340" w:lineRule="exact"/>
        <w:rPr>
          <w:rFonts w:hint="eastAsia" w:ascii="宋体" w:hAnsi="宋体" w:cs="宋体"/>
          <w:b/>
          <w:bCs/>
          <w:szCs w:val="21"/>
        </w:rPr>
      </w:pPr>
      <w:bookmarkStart w:id="111" w:name="_Toc98669347"/>
      <w:bookmarkStart w:id="112" w:name="_Toc98669705"/>
      <w:bookmarkStart w:id="113" w:name="_Toc101264830"/>
      <w:bookmarkStart w:id="114" w:name="_Toc92168016"/>
      <w:bookmarkStart w:id="115" w:name="_Toc20732984"/>
      <w:r>
        <w:rPr>
          <w:rFonts w:hint="eastAsia" w:ascii="宋体" w:hAnsi="宋体" w:cs="宋体"/>
          <w:b/>
          <w:bCs/>
          <w:szCs w:val="21"/>
        </w:rPr>
        <w:t>3.6、</w:t>
      </w:r>
      <w:bookmarkEnd w:id="111"/>
      <w:bookmarkEnd w:id="112"/>
      <w:bookmarkEnd w:id="113"/>
      <w:bookmarkEnd w:id="114"/>
      <w:bookmarkEnd w:id="115"/>
      <w:r>
        <w:rPr>
          <w:rFonts w:hint="eastAsia" w:ascii="宋体" w:hAnsi="宋体" w:cs="宋体"/>
          <w:b/>
          <w:bCs/>
          <w:szCs w:val="21"/>
        </w:rPr>
        <w:t>技术及服务要求的响应</w:t>
      </w:r>
    </w:p>
    <w:p w14:paraId="6020869D">
      <w:pPr>
        <w:spacing w:line="360" w:lineRule="auto"/>
        <w:ind w:firstLine="371"/>
        <w:rPr>
          <w:rFonts w:hint="eastAsia" w:ascii="宋体" w:hAnsi="宋体" w:cs="宋体"/>
          <w:bCs/>
          <w:szCs w:val="21"/>
        </w:rPr>
      </w:pPr>
      <w:r>
        <w:rPr>
          <w:rFonts w:hint="eastAsia" w:ascii="宋体" w:hAnsi="宋体" w:cs="宋体"/>
          <w:bCs/>
          <w:szCs w:val="21"/>
        </w:rPr>
        <w:t>3.6.1 供应商必须依据谈判文件中采购需求，逐条说明其提供的本工程服务符合谈判文件要求。该文件可以是文字资料、数据、图纸和电子文档。</w:t>
      </w:r>
    </w:p>
    <w:p w14:paraId="5AD919F6">
      <w:pPr>
        <w:spacing w:line="360" w:lineRule="auto"/>
        <w:ind w:firstLine="371"/>
        <w:rPr>
          <w:rFonts w:hint="eastAsia" w:ascii="宋体" w:hAnsi="宋体" w:cs="宋体"/>
          <w:bCs/>
          <w:szCs w:val="21"/>
        </w:rPr>
      </w:pPr>
      <w:r>
        <w:rPr>
          <w:rFonts w:hint="eastAsia" w:ascii="宋体" w:hAnsi="宋体" w:cs="宋体"/>
          <w:bCs/>
          <w:szCs w:val="21"/>
        </w:rPr>
        <w:t>3.6.2 供应商的服务承诺应按不低于谈判文件中技术及服务要求的标准做出响应。</w:t>
      </w:r>
    </w:p>
    <w:p w14:paraId="55C5E5E8">
      <w:pPr>
        <w:spacing w:line="340" w:lineRule="exact"/>
        <w:rPr>
          <w:rFonts w:hint="eastAsia" w:ascii="宋体" w:hAnsi="宋体" w:cs="宋体"/>
          <w:b/>
          <w:bCs/>
          <w:szCs w:val="21"/>
        </w:rPr>
      </w:pPr>
      <w:bookmarkStart w:id="116" w:name="_Toc92168017"/>
      <w:bookmarkStart w:id="117" w:name="_Toc98669348"/>
      <w:bookmarkStart w:id="118" w:name="_Toc101264831"/>
      <w:bookmarkStart w:id="119" w:name="_Toc98669706"/>
      <w:bookmarkStart w:id="120" w:name="_Toc20732985"/>
      <w:r>
        <w:rPr>
          <w:rFonts w:hint="eastAsia" w:ascii="宋体" w:hAnsi="宋体" w:cs="宋体"/>
          <w:b/>
          <w:bCs/>
          <w:szCs w:val="21"/>
        </w:rPr>
        <w:t>3.7、证明供应商资格和能力的文件</w:t>
      </w:r>
      <w:bookmarkEnd w:id="116"/>
      <w:bookmarkEnd w:id="117"/>
      <w:bookmarkEnd w:id="118"/>
      <w:bookmarkEnd w:id="119"/>
      <w:bookmarkEnd w:id="120"/>
    </w:p>
    <w:p w14:paraId="2411D292">
      <w:pPr>
        <w:spacing w:line="360" w:lineRule="auto"/>
        <w:ind w:firstLine="371"/>
        <w:rPr>
          <w:rFonts w:hint="eastAsia" w:ascii="宋体" w:hAnsi="宋体" w:cs="宋体"/>
          <w:szCs w:val="21"/>
        </w:rPr>
      </w:pPr>
      <w:r>
        <w:rPr>
          <w:rFonts w:hint="eastAsia" w:ascii="宋体" w:hAnsi="宋体" w:cs="宋体"/>
          <w:bCs/>
          <w:szCs w:val="21"/>
        </w:rPr>
        <w:t xml:space="preserve">3.7.1 </w:t>
      </w:r>
      <w:r>
        <w:rPr>
          <w:rFonts w:hint="eastAsia" w:ascii="宋体" w:hAnsi="宋体" w:cs="宋体"/>
          <w:szCs w:val="21"/>
        </w:rPr>
        <w:t>供应商应提交证明其有资格参加谈判和成交后有能力履行合同的文件，并作为其谈判响应文件的一部分。</w:t>
      </w:r>
    </w:p>
    <w:p w14:paraId="5AC7E3FC">
      <w:pPr>
        <w:spacing w:line="360" w:lineRule="auto"/>
        <w:ind w:firstLine="371"/>
        <w:rPr>
          <w:rFonts w:hint="eastAsia" w:ascii="宋体" w:hAnsi="宋体" w:cs="宋体"/>
          <w:bCs/>
          <w:szCs w:val="21"/>
        </w:rPr>
      </w:pPr>
      <w:r>
        <w:rPr>
          <w:rFonts w:hint="eastAsia" w:ascii="宋体" w:hAnsi="宋体" w:cs="宋体"/>
          <w:bCs/>
          <w:szCs w:val="21"/>
        </w:rPr>
        <w:t>3.7.2 供应商除必须具有履行合同所需提供的工程服务的能力外，还必须具备相应的后期维修服务、财务、技术方面的能力。</w:t>
      </w:r>
    </w:p>
    <w:p w14:paraId="4182162F">
      <w:pPr>
        <w:spacing w:line="340" w:lineRule="exact"/>
        <w:rPr>
          <w:rFonts w:hint="eastAsia" w:ascii="宋体" w:hAnsi="宋体" w:cs="宋体"/>
          <w:b/>
          <w:bCs/>
          <w:szCs w:val="21"/>
        </w:rPr>
      </w:pPr>
      <w:bookmarkStart w:id="121" w:name="_Toc101264832"/>
      <w:bookmarkStart w:id="122" w:name="_Toc20732986"/>
      <w:bookmarkStart w:id="123" w:name="_Toc98669707"/>
      <w:bookmarkStart w:id="124" w:name="_Toc98669349"/>
      <w:bookmarkStart w:id="125" w:name="_Toc92168018"/>
      <w:r>
        <w:rPr>
          <w:rFonts w:hint="eastAsia" w:ascii="宋体" w:hAnsi="宋体" w:cs="宋体"/>
          <w:b/>
          <w:bCs/>
          <w:szCs w:val="21"/>
        </w:rPr>
        <w:t>3.8、谈判保证金</w:t>
      </w:r>
      <w:bookmarkEnd w:id="121"/>
      <w:bookmarkEnd w:id="122"/>
      <w:bookmarkEnd w:id="123"/>
      <w:bookmarkEnd w:id="124"/>
      <w:bookmarkEnd w:id="125"/>
      <w:r>
        <w:rPr>
          <w:rFonts w:hint="eastAsia" w:ascii="宋体" w:hAnsi="宋体" w:cs="宋体"/>
          <w:b/>
          <w:bCs/>
          <w:szCs w:val="21"/>
        </w:rPr>
        <w:t>（本项目不采用）</w:t>
      </w:r>
    </w:p>
    <w:p w14:paraId="3699E889">
      <w:pPr>
        <w:spacing w:line="340" w:lineRule="exact"/>
        <w:rPr>
          <w:rFonts w:hint="eastAsia" w:ascii="宋体" w:hAnsi="宋体" w:cs="宋体"/>
          <w:b/>
          <w:bCs/>
          <w:szCs w:val="21"/>
        </w:rPr>
      </w:pPr>
      <w:bookmarkStart w:id="126" w:name="_Toc92168019"/>
      <w:bookmarkStart w:id="127" w:name="_Toc101264833"/>
      <w:bookmarkStart w:id="128" w:name="_Toc20732987"/>
      <w:bookmarkStart w:id="129" w:name="_Toc98669350"/>
      <w:bookmarkStart w:id="130" w:name="_Toc98669708"/>
      <w:r>
        <w:rPr>
          <w:rFonts w:hint="eastAsia" w:ascii="宋体" w:hAnsi="宋体" w:cs="宋体"/>
          <w:b/>
          <w:bCs/>
          <w:szCs w:val="21"/>
        </w:rPr>
        <w:t>3.9、谈判响应有效期</w:t>
      </w:r>
      <w:bookmarkEnd w:id="126"/>
      <w:bookmarkEnd w:id="127"/>
      <w:bookmarkEnd w:id="128"/>
      <w:bookmarkEnd w:id="129"/>
      <w:bookmarkEnd w:id="130"/>
    </w:p>
    <w:p w14:paraId="497A92FB">
      <w:pPr>
        <w:spacing w:line="360" w:lineRule="auto"/>
        <w:ind w:firstLine="315"/>
        <w:rPr>
          <w:rFonts w:hint="eastAsia" w:ascii="宋体" w:hAnsi="宋体" w:cs="宋体"/>
          <w:bCs/>
          <w:szCs w:val="21"/>
        </w:rPr>
      </w:pPr>
      <w:r>
        <w:rPr>
          <w:rFonts w:hint="eastAsia" w:ascii="宋体" w:hAnsi="宋体" w:cs="宋体"/>
          <w:bCs/>
          <w:szCs w:val="21"/>
        </w:rPr>
        <w:t>3.9.1 谈判响应文件有效期为：采购人文件规定的谈判之日起90天内有效。</w:t>
      </w:r>
    </w:p>
    <w:p w14:paraId="7E657E66">
      <w:pPr>
        <w:spacing w:line="360" w:lineRule="auto"/>
        <w:ind w:firstLine="315"/>
        <w:rPr>
          <w:rFonts w:hint="eastAsia" w:ascii="宋体" w:hAnsi="宋体" w:cs="宋体"/>
          <w:bCs/>
          <w:szCs w:val="21"/>
        </w:rPr>
      </w:pPr>
      <w:r>
        <w:rPr>
          <w:rFonts w:hint="eastAsia" w:ascii="宋体" w:hAnsi="宋体" w:cs="宋体"/>
          <w:bCs/>
          <w:szCs w:val="21"/>
        </w:rPr>
        <w:t>3.9.2 在特殊情况下，采购人于原谈判响应有效期满之前，可向供应商提出延长谈判响应有效期的要求。这种要求与答复均应采用书面形式（如信件、传真或电报等）。供应商可以拒绝采购人的这一要求而放弃谈判响应，同意延长的供应商既不能要求也不允许修改其谈判响应文件。</w:t>
      </w:r>
      <w:bookmarkStart w:id="131" w:name="_Toc98669709"/>
      <w:bookmarkEnd w:id="131"/>
      <w:bookmarkStart w:id="132" w:name="_Toc92168020"/>
      <w:bookmarkEnd w:id="132"/>
      <w:bookmarkStart w:id="133" w:name="_Toc101264834"/>
      <w:bookmarkEnd w:id="133"/>
      <w:bookmarkStart w:id="134" w:name="_Toc20732988"/>
      <w:bookmarkEnd w:id="134"/>
      <w:bookmarkStart w:id="135" w:name="_Toc98669351"/>
      <w:bookmarkEnd w:id="135"/>
    </w:p>
    <w:p w14:paraId="16AEF961">
      <w:pPr>
        <w:pStyle w:val="42"/>
        <w:tabs>
          <w:tab w:val="left" w:pos="283"/>
        </w:tabs>
        <w:spacing w:after="0" w:line="340" w:lineRule="exact"/>
        <w:jc w:val="left"/>
        <w:outlineLvl w:val="1"/>
        <w:rPr>
          <w:rFonts w:hint="eastAsia" w:ascii="宋体" w:hAnsi="宋体"/>
          <w:sz w:val="21"/>
          <w:szCs w:val="21"/>
        </w:rPr>
      </w:pPr>
      <w:bookmarkStart w:id="136" w:name="_Toc98669352"/>
      <w:bookmarkStart w:id="137" w:name="_Toc98669710"/>
      <w:bookmarkStart w:id="138" w:name="_Toc92168021"/>
      <w:bookmarkStart w:id="139" w:name="_Toc101264835"/>
      <w:bookmarkStart w:id="140" w:name="_Toc20732989"/>
      <w:r>
        <w:rPr>
          <w:rFonts w:hint="eastAsia" w:ascii="宋体" w:hAnsi="宋体"/>
          <w:sz w:val="21"/>
          <w:szCs w:val="21"/>
        </w:rPr>
        <w:t>四、</w:t>
      </w:r>
      <w:bookmarkEnd w:id="136"/>
      <w:bookmarkEnd w:id="137"/>
      <w:bookmarkEnd w:id="138"/>
      <w:bookmarkEnd w:id="139"/>
      <w:bookmarkEnd w:id="140"/>
      <w:r>
        <w:rPr>
          <w:rFonts w:hint="eastAsia" w:ascii="宋体" w:hAnsi="宋体"/>
          <w:sz w:val="21"/>
          <w:szCs w:val="21"/>
        </w:rPr>
        <w:t>谈判</w:t>
      </w:r>
    </w:p>
    <w:p w14:paraId="51A1CE7C">
      <w:pPr>
        <w:spacing w:line="340" w:lineRule="exact"/>
        <w:rPr>
          <w:rFonts w:hint="eastAsia" w:ascii="宋体" w:hAnsi="宋体" w:cs="宋体"/>
          <w:b/>
          <w:bCs/>
          <w:szCs w:val="21"/>
        </w:rPr>
      </w:pPr>
      <w:bookmarkStart w:id="141" w:name="_Toc92168022"/>
      <w:bookmarkStart w:id="142" w:name="_Toc20732990"/>
      <w:bookmarkStart w:id="143" w:name="_Toc98669353"/>
      <w:bookmarkStart w:id="144" w:name="_Toc98669711"/>
      <w:bookmarkStart w:id="145" w:name="_Toc101264836"/>
      <w:r>
        <w:rPr>
          <w:rFonts w:hint="eastAsia" w:ascii="宋体" w:hAnsi="宋体" w:cs="宋体"/>
          <w:b/>
          <w:bCs/>
          <w:szCs w:val="21"/>
        </w:rPr>
        <w:t>4.1、谈判响应文件的密封和标记</w:t>
      </w:r>
      <w:bookmarkEnd w:id="141"/>
      <w:bookmarkEnd w:id="142"/>
      <w:bookmarkEnd w:id="143"/>
      <w:bookmarkEnd w:id="144"/>
      <w:bookmarkEnd w:id="145"/>
    </w:p>
    <w:p w14:paraId="477B597E">
      <w:pPr>
        <w:spacing w:line="360" w:lineRule="auto"/>
        <w:ind w:firstLine="315"/>
        <w:rPr>
          <w:rFonts w:hint="eastAsia" w:ascii="宋体" w:hAnsi="宋体" w:cs="宋体"/>
          <w:bCs/>
          <w:szCs w:val="21"/>
        </w:rPr>
      </w:pPr>
      <w:r>
        <w:rPr>
          <w:rFonts w:hint="eastAsia" w:ascii="宋体" w:hAnsi="宋体" w:cs="宋体"/>
          <w:bCs/>
          <w:szCs w:val="21"/>
        </w:rPr>
        <w:t>4.1.1</w:t>
      </w:r>
      <w:r>
        <w:rPr>
          <w:rFonts w:hint="eastAsia" w:ascii="宋体" w:hAnsi="宋体" w:cs="宋体"/>
          <w:b/>
          <w:szCs w:val="21"/>
          <w:u w:val="single"/>
        </w:rPr>
        <w:t>供应商应将谈判响应文件密封，包装物上需加盖供应商公章，并注明供应商名称、项目名称。</w:t>
      </w:r>
    </w:p>
    <w:p w14:paraId="62250692">
      <w:pPr>
        <w:spacing w:line="360" w:lineRule="auto"/>
        <w:ind w:firstLine="316"/>
        <w:rPr>
          <w:rFonts w:hint="eastAsia" w:ascii="宋体" w:hAnsi="宋体" w:cs="宋体"/>
          <w:b/>
          <w:szCs w:val="21"/>
          <w:u w:val="single"/>
        </w:rPr>
      </w:pPr>
      <w:bookmarkStart w:id="146" w:name="_Toc92168023"/>
      <w:bookmarkStart w:id="147" w:name="_Toc98669354"/>
      <w:bookmarkStart w:id="148" w:name="_Toc101264837"/>
      <w:bookmarkStart w:id="149" w:name="_Toc20732991"/>
      <w:bookmarkStart w:id="150" w:name="_Toc98669712"/>
      <w:r>
        <w:rPr>
          <w:rFonts w:hint="eastAsia" w:ascii="宋体" w:hAnsi="宋体" w:cs="宋体"/>
          <w:b/>
          <w:szCs w:val="21"/>
          <w:u w:val="single"/>
        </w:rPr>
        <w:t>4.1.2未按谈判文件规定密封、装订的谈判响应文件，采购人将拒收。</w:t>
      </w:r>
    </w:p>
    <w:p w14:paraId="4179FA09">
      <w:pPr>
        <w:spacing w:line="360" w:lineRule="auto"/>
        <w:ind w:firstLine="315"/>
        <w:rPr>
          <w:rFonts w:hint="eastAsia" w:ascii="宋体" w:hAnsi="宋体" w:cs="宋体"/>
          <w:b/>
          <w:bCs/>
          <w:szCs w:val="21"/>
        </w:rPr>
      </w:pPr>
      <w:r>
        <w:rPr>
          <w:rFonts w:hint="eastAsia" w:ascii="宋体" w:hAnsi="宋体" w:cs="宋体"/>
          <w:bCs/>
          <w:szCs w:val="21"/>
        </w:rPr>
        <w:t>4.1.3供应商在递交谈判响应文件时须由法定代表人或其授权委托代理人出示居民身份证，并填写签到簿。供应商法定代表人或其授权委托代理人未出示居民身份证的，采购人拒绝接收其谈判响应文件。</w:t>
      </w:r>
    </w:p>
    <w:p w14:paraId="7F7A13CA">
      <w:pPr>
        <w:spacing w:line="340" w:lineRule="exact"/>
        <w:rPr>
          <w:rFonts w:hint="eastAsia" w:ascii="宋体" w:hAnsi="宋体" w:cs="宋体"/>
          <w:b/>
          <w:bCs/>
          <w:szCs w:val="21"/>
        </w:rPr>
      </w:pPr>
      <w:r>
        <w:rPr>
          <w:rFonts w:hint="eastAsia" w:ascii="宋体" w:hAnsi="宋体" w:cs="宋体"/>
          <w:b/>
          <w:bCs/>
          <w:szCs w:val="21"/>
        </w:rPr>
        <w:t>4.2、谈判响应截止日期</w:t>
      </w:r>
      <w:bookmarkEnd w:id="146"/>
      <w:bookmarkEnd w:id="147"/>
      <w:bookmarkEnd w:id="148"/>
      <w:bookmarkEnd w:id="149"/>
      <w:bookmarkEnd w:id="150"/>
    </w:p>
    <w:p w14:paraId="09563B80">
      <w:pPr>
        <w:spacing w:line="360" w:lineRule="auto"/>
        <w:ind w:left="141" w:firstLine="315"/>
        <w:rPr>
          <w:rFonts w:hint="eastAsia" w:ascii="宋体" w:hAnsi="宋体" w:cs="宋体"/>
          <w:bCs/>
          <w:szCs w:val="21"/>
        </w:rPr>
      </w:pPr>
      <w:r>
        <w:rPr>
          <w:rFonts w:hint="eastAsia" w:ascii="宋体" w:hAnsi="宋体" w:cs="宋体"/>
          <w:bCs/>
          <w:szCs w:val="21"/>
        </w:rPr>
        <w:t xml:space="preserve">4.2.1 </w:t>
      </w:r>
      <w:r>
        <w:rPr>
          <w:rFonts w:hint="eastAsia" w:ascii="宋体" w:hAnsi="宋体" w:cs="宋体"/>
          <w:szCs w:val="21"/>
        </w:rPr>
        <w:t>供应商必须在谈判文件规定的谈判响应文件提交截止时间前将谈判响应文件送达指定的谈判地点。</w:t>
      </w:r>
    </w:p>
    <w:p w14:paraId="4C354E94">
      <w:pPr>
        <w:spacing w:line="360" w:lineRule="auto"/>
        <w:ind w:left="122" w:firstLine="315"/>
        <w:rPr>
          <w:rFonts w:hint="eastAsia" w:ascii="宋体" w:hAnsi="宋体" w:cs="宋体"/>
          <w:bCs/>
          <w:szCs w:val="21"/>
        </w:rPr>
      </w:pPr>
      <w:r>
        <w:rPr>
          <w:rFonts w:hint="eastAsia" w:ascii="宋体" w:hAnsi="宋体" w:cs="宋体"/>
          <w:bCs/>
          <w:szCs w:val="21"/>
        </w:rPr>
        <w:t xml:space="preserve">4.2.2 </w:t>
      </w:r>
      <w:r>
        <w:rPr>
          <w:rFonts w:hint="eastAsia" w:ascii="宋体" w:hAnsi="宋体" w:cs="宋体"/>
          <w:szCs w:val="21"/>
        </w:rPr>
        <w:t>采购人将根据本项目须知条款，通过修改谈判文件自行推迟谈判响应截止时间。在此情况下，推迟谈判响应截止时间将以书面形式告知所有领取谈判文件的供应商。采购人和供应商的所有权利和义务以及供应商受制的截止时间均应延长至新的截止时间为准。</w:t>
      </w:r>
    </w:p>
    <w:p w14:paraId="34145CA2">
      <w:pPr>
        <w:spacing w:line="360" w:lineRule="auto"/>
        <w:ind w:firstLine="420"/>
        <w:rPr>
          <w:rFonts w:hint="eastAsia" w:ascii="宋体" w:hAnsi="宋体" w:cs="宋体"/>
          <w:bCs/>
          <w:szCs w:val="21"/>
        </w:rPr>
      </w:pPr>
      <w:r>
        <w:rPr>
          <w:rFonts w:hint="eastAsia" w:ascii="宋体" w:hAnsi="宋体" w:cs="宋体"/>
          <w:bCs/>
          <w:szCs w:val="21"/>
        </w:rPr>
        <w:t xml:space="preserve">4.2.3 </w:t>
      </w:r>
      <w:r>
        <w:rPr>
          <w:rFonts w:hint="eastAsia" w:ascii="宋体" w:hAnsi="宋体" w:cs="宋体"/>
          <w:szCs w:val="21"/>
        </w:rPr>
        <w:t>在谈判响应文件提交截止时间后送达的谈判响应文件，采购人拒绝接收。</w:t>
      </w:r>
    </w:p>
    <w:p w14:paraId="0C3276AA">
      <w:pPr>
        <w:spacing w:line="340" w:lineRule="exact"/>
        <w:rPr>
          <w:rFonts w:hint="eastAsia" w:ascii="宋体" w:hAnsi="宋体" w:cs="宋体"/>
          <w:b/>
          <w:bCs/>
          <w:szCs w:val="21"/>
        </w:rPr>
      </w:pPr>
      <w:bookmarkStart w:id="151" w:name="_Toc20732992"/>
      <w:bookmarkStart w:id="152" w:name="_Toc101264838"/>
      <w:bookmarkStart w:id="153" w:name="_Toc98669713"/>
      <w:bookmarkStart w:id="154" w:name="_Toc98669355"/>
      <w:bookmarkStart w:id="155" w:name="_Toc92168024"/>
      <w:r>
        <w:rPr>
          <w:rFonts w:hint="eastAsia" w:ascii="宋体" w:hAnsi="宋体" w:cs="宋体"/>
          <w:b/>
          <w:bCs/>
          <w:szCs w:val="21"/>
        </w:rPr>
        <w:t>4.3、</w:t>
      </w:r>
      <w:bookmarkEnd w:id="151"/>
      <w:bookmarkEnd w:id="152"/>
      <w:bookmarkEnd w:id="153"/>
      <w:bookmarkEnd w:id="154"/>
      <w:bookmarkEnd w:id="155"/>
      <w:r>
        <w:rPr>
          <w:rFonts w:hint="eastAsia" w:ascii="宋体" w:hAnsi="宋体" w:cs="宋体"/>
          <w:b/>
          <w:bCs/>
          <w:szCs w:val="21"/>
        </w:rPr>
        <w:t>谈判响应文件的修改和撤回</w:t>
      </w:r>
    </w:p>
    <w:p w14:paraId="06FF1A00">
      <w:pPr>
        <w:spacing w:line="360" w:lineRule="auto"/>
        <w:ind w:left="141" w:firstLine="315"/>
        <w:rPr>
          <w:rFonts w:hint="eastAsia" w:ascii="宋体" w:hAnsi="宋体" w:cs="宋体"/>
          <w:bCs/>
          <w:szCs w:val="21"/>
        </w:rPr>
      </w:pPr>
      <w:r>
        <w:rPr>
          <w:rFonts w:hint="eastAsia" w:ascii="宋体" w:hAnsi="宋体" w:cs="宋体"/>
          <w:bCs/>
          <w:szCs w:val="21"/>
        </w:rPr>
        <w:t xml:space="preserve">4.3.1 </w:t>
      </w:r>
      <w:r>
        <w:rPr>
          <w:rFonts w:hint="eastAsia" w:ascii="宋体" w:hAnsi="宋体" w:cs="宋体"/>
          <w:szCs w:val="21"/>
        </w:rPr>
        <w:t>供应商在提交谈判响应文件截止时间前，可以对所提交的响应文件进行补充、修改或者撤回，并书面通知采购人。补充、修改的内容作为响应文件的组成部分。补充、修改的内容与响应文件不一致的，以补充、修改的内容为准。</w:t>
      </w:r>
    </w:p>
    <w:p w14:paraId="039514FF">
      <w:pPr>
        <w:spacing w:line="360" w:lineRule="auto"/>
        <w:ind w:left="141" w:firstLine="315"/>
        <w:rPr>
          <w:rFonts w:hint="eastAsia" w:ascii="宋体" w:hAnsi="宋体" w:cs="宋体"/>
          <w:bCs/>
          <w:szCs w:val="21"/>
        </w:rPr>
      </w:pPr>
      <w:r>
        <w:rPr>
          <w:rFonts w:hint="eastAsia" w:ascii="宋体" w:hAnsi="宋体" w:cs="宋体"/>
          <w:bCs/>
          <w:szCs w:val="21"/>
        </w:rPr>
        <w:t xml:space="preserve">4.3.2 </w:t>
      </w:r>
      <w:r>
        <w:rPr>
          <w:rFonts w:hint="eastAsia" w:ascii="宋体" w:hAnsi="宋体" w:cs="宋体"/>
          <w:szCs w:val="21"/>
        </w:rPr>
        <w:t>供应商的补充、修改或撤回通知书，应以书面形式递交。</w:t>
      </w:r>
    </w:p>
    <w:p w14:paraId="09532773">
      <w:pPr>
        <w:spacing w:line="360" w:lineRule="auto"/>
        <w:ind w:left="141" w:firstLine="315"/>
        <w:rPr>
          <w:rFonts w:hint="eastAsia" w:ascii="宋体" w:hAnsi="宋体" w:cs="宋体"/>
          <w:szCs w:val="21"/>
        </w:rPr>
      </w:pPr>
      <w:r>
        <w:rPr>
          <w:rFonts w:hint="eastAsia" w:ascii="宋体" w:hAnsi="宋体" w:cs="宋体"/>
          <w:bCs/>
          <w:szCs w:val="21"/>
        </w:rPr>
        <w:t xml:space="preserve">4.3.3 </w:t>
      </w:r>
      <w:r>
        <w:rPr>
          <w:rFonts w:hint="eastAsia" w:ascii="宋体" w:hAnsi="宋体" w:cs="宋体"/>
          <w:szCs w:val="21"/>
        </w:rPr>
        <w:t>在谈判响应截止时间之后，供应商不得自行对其递交的谈判响应文件作任何修改。</w:t>
      </w:r>
    </w:p>
    <w:p w14:paraId="561D0BB7">
      <w:pPr>
        <w:spacing w:line="360" w:lineRule="auto"/>
        <w:ind w:left="141" w:firstLine="315"/>
        <w:rPr>
          <w:rFonts w:hint="eastAsia" w:ascii="宋体" w:hAnsi="宋体" w:cs="宋体"/>
          <w:szCs w:val="21"/>
        </w:rPr>
      </w:pPr>
      <w:r>
        <w:rPr>
          <w:rFonts w:hint="eastAsia" w:ascii="宋体" w:hAnsi="宋体" w:cs="宋体"/>
          <w:bCs/>
          <w:szCs w:val="21"/>
        </w:rPr>
        <w:t xml:space="preserve">4.4.4 </w:t>
      </w:r>
      <w:r>
        <w:rPr>
          <w:rFonts w:hint="eastAsia" w:ascii="宋体" w:hAnsi="宋体" w:cs="宋体"/>
          <w:szCs w:val="21"/>
        </w:rPr>
        <w:t>在谈判开始后至谈判文件中规定的谈判响应文件有效期期满之间的这段时间内，供应商不得撤回其谈判响应文件。</w:t>
      </w:r>
    </w:p>
    <w:p w14:paraId="33575A60">
      <w:pPr>
        <w:pStyle w:val="42"/>
        <w:tabs>
          <w:tab w:val="left" w:pos="283"/>
        </w:tabs>
        <w:spacing w:after="0" w:line="340" w:lineRule="exact"/>
        <w:jc w:val="left"/>
        <w:outlineLvl w:val="1"/>
        <w:rPr>
          <w:rFonts w:hint="eastAsia" w:ascii="宋体" w:hAnsi="宋体"/>
          <w:sz w:val="21"/>
          <w:szCs w:val="21"/>
        </w:rPr>
      </w:pPr>
      <w:bookmarkStart w:id="156" w:name="_Toc98669357"/>
      <w:bookmarkStart w:id="157" w:name="_Toc98669715"/>
      <w:bookmarkStart w:id="158" w:name="_Toc20732994"/>
      <w:bookmarkStart w:id="159" w:name="_Toc92168026"/>
      <w:bookmarkStart w:id="160" w:name="_Toc101264840"/>
      <w:r>
        <w:rPr>
          <w:rFonts w:hint="eastAsia" w:ascii="宋体" w:hAnsi="宋体"/>
          <w:sz w:val="21"/>
          <w:szCs w:val="21"/>
        </w:rPr>
        <w:t>五、谈判与评</w:t>
      </w:r>
      <w:bookmarkEnd w:id="156"/>
      <w:bookmarkEnd w:id="157"/>
      <w:bookmarkEnd w:id="158"/>
      <w:bookmarkEnd w:id="159"/>
      <w:bookmarkEnd w:id="160"/>
      <w:r>
        <w:rPr>
          <w:rFonts w:hint="eastAsia" w:ascii="宋体" w:hAnsi="宋体"/>
          <w:sz w:val="21"/>
          <w:szCs w:val="21"/>
        </w:rPr>
        <w:t>定</w:t>
      </w:r>
    </w:p>
    <w:p w14:paraId="3932E81F">
      <w:pPr>
        <w:spacing w:line="340" w:lineRule="exact"/>
        <w:rPr>
          <w:rFonts w:hint="eastAsia" w:ascii="宋体" w:hAnsi="宋体" w:cs="宋体"/>
          <w:b/>
          <w:bCs/>
          <w:szCs w:val="21"/>
        </w:rPr>
      </w:pPr>
      <w:bookmarkStart w:id="161" w:name="_Toc98669716"/>
      <w:bookmarkStart w:id="162" w:name="_Toc92168027"/>
      <w:bookmarkStart w:id="163" w:name="_Toc98669358"/>
      <w:bookmarkStart w:id="164" w:name="_Toc101264841"/>
      <w:bookmarkStart w:id="165" w:name="_Toc20732995"/>
      <w:r>
        <w:rPr>
          <w:rFonts w:hint="eastAsia" w:ascii="宋体" w:hAnsi="宋体" w:cs="宋体"/>
          <w:b/>
          <w:bCs/>
          <w:szCs w:val="21"/>
        </w:rPr>
        <w:t>5.1、</w:t>
      </w:r>
      <w:bookmarkEnd w:id="161"/>
      <w:bookmarkEnd w:id="162"/>
      <w:bookmarkEnd w:id="163"/>
      <w:bookmarkEnd w:id="164"/>
      <w:bookmarkEnd w:id="165"/>
      <w:r>
        <w:rPr>
          <w:rFonts w:hint="eastAsia" w:ascii="宋体" w:hAnsi="宋体" w:cs="宋体"/>
          <w:b/>
          <w:bCs/>
          <w:szCs w:val="21"/>
        </w:rPr>
        <w:t>谈判小组组成及谈判文件确认</w:t>
      </w:r>
    </w:p>
    <w:p w14:paraId="70FFBF88">
      <w:pPr>
        <w:spacing w:line="360" w:lineRule="auto"/>
        <w:ind w:left="141" w:firstLine="315"/>
        <w:rPr>
          <w:rFonts w:hint="eastAsia" w:ascii="宋体" w:hAnsi="宋体" w:cs="宋体"/>
          <w:bCs/>
          <w:szCs w:val="21"/>
        </w:rPr>
      </w:pPr>
      <w:r>
        <w:rPr>
          <w:rFonts w:hint="eastAsia" w:ascii="宋体" w:hAnsi="宋体" w:cs="宋体"/>
          <w:bCs/>
          <w:szCs w:val="21"/>
        </w:rPr>
        <w:t>5.1.1 采购人将在“谈判文件”中规定的时间和地点进行谈判活动。供应商须由法定代表人或其授权委托代理人（</w:t>
      </w:r>
      <w:r>
        <w:rPr>
          <w:rFonts w:hint="eastAsia" w:ascii="宋体" w:hAnsi="宋体" w:cs="宋体"/>
          <w:b/>
          <w:bCs/>
          <w:szCs w:val="21"/>
          <w:u w:val="single"/>
        </w:rPr>
        <w:t>法人授权委托书</w:t>
      </w:r>
      <w:r>
        <w:rPr>
          <w:rFonts w:hint="eastAsia" w:ascii="宋体" w:hAnsi="宋体" w:cs="宋体"/>
          <w:bCs/>
          <w:szCs w:val="21"/>
        </w:rPr>
        <w:t>）准时参加谈判会议，并签字报到以证明其出席（</w:t>
      </w:r>
      <w:r>
        <w:rPr>
          <w:rFonts w:hint="eastAsia" w:ascii="宋体" w:hAnsi="宋体" w:cs="宋体"/>
          <w:b/>
          <w:bCs/>
          <w:szCs w:val="21"/>
          <w:u w:val="single"/>
        </w:rPr>
        <w:t>须随身携带居民身份证，以确定其身份</w:t>
      </w:r>
      <w:r>
        <w:rPr>
          <w:rFonts w:hint="eastAsia" w:ascii="宋体" w:hAnsi="宋体" w:cs="宋体"/>
          <w:bCs/>
          <w:szCs w:val="21"/>
        </w:rPr>
        <w:t>）。</w:t>
      </w:r>
    </w:p>
    <w:p w14:paraId="1E63AF2E">
      <w:pPr>
        <w:spacing w:line="360" w:lineRule="auto"/>
        <w:ind w:left="141" w:firstLine="315"/>
        <w:rPr>
          <w:rFonts w:hint="eastAsia" w:ascii="宋体" w:hAnsi="宋体" w:cs="宋体"/>
          <w:bCs/>
          <w:szCs w:val="21"/>
        </w:rPr>
      </w:pPr>
      <w:r>
        <w:rPr>
          <w:rFonts w:hint="eastAsia" w:ascii="宋体" w:hAnsi="宋体" w:cs="宋体"/>
          <w:bCs/>
          <w:szCs w:val="21"/>
        </w:rPr>
        <w:t>5.1.2 按照第4.3条规定，同意撤回的谈判响应文件将不予开封。</w:t>
      </w:r>
    </w:p>
    <w:p w14:paraId="71444B67">
      <w:pPr>
        <w:spacing w:line="360" w:lineRule="auto"/>
        <w:ind w:left="141" w:firstLine="315"/>
        <w:rPr>
          <w:rFonts w:hint="eastAsia" w:ascii="宋体" w:hAnsi="宋体" w:cs="宋体"/>
          <w:bCs/>
          <w:szCs w:val="21"/>
        </w:rPr>
      </w:pPr>
      <w:r>
        <w:rPr>
          <w:rFonts w:hint="eastAsia" w:ascii="宋体" w:hAnsi="宋体" w:cs="宋体"/>
          <w:bCs/>
          <w:szCs w:val="21"/>
        </w:rPr>
        <w:t>5.1.3 响应文件开启之前，由供应商或者其推选的代表检查谈判响应文件的密封情况。密封情况检查无误后，由采购人当众宣读递交响应文件的供应商名称、谈判顺序号。提交响应文件但未参加该环节的供应商，视同认可上述结果。</w:t>
      </w:r>
    </w:p>
    <w:p w14:paraId="640DAA7F">
      <w:pPr>
        <w:spacing w:line="360" w:lineRule="auto"/>
        <w:ind w:left="141" w:firstLine="315"/>
        <w:rPr>
          <w:rFonts w:hint="eastAsia" w:ascii="宋体" w:hAnsi="宋体" w:cs="宋体"/>
          <w:bCs/>
          <w:szCs w:val="21"/>
        </w:rPr>
      </w:pPr>
      <w:r>
        <w:rPr>
          <w:rFonts w:hint="eastAsia" w:ascii="宋体" w:hAnsi="宋体" w:cs="宋体"/>
          <w:bCs/>
          <w:szCs w:val="21"/>
        </w:rPr>
        <w:t>5.1.4 谈判文件由谈判小组确认并出具书面意见。</w:t>
      </w:r>
    </w:p>
    <w:p w14:paraId="7B52C28B">
      <w:pPr>
        <w:spacing w:line="340" w:lineRule="exact"/>
        <w:rPr>
          <w:rFonts w:hint="eastAsia" w:ascii="宋体" w:hAnsi="宋体" w:cs="宋体"/>
          <w:b/>
          <w:bCs/>
          <w:szCs w:val="21"/>
        </w:rPr>
      </w:pPr>
      <w:bookmarkStart w:id="166" w:name="_Toc101264842"/>
      <w:bookmarkStart w:id="167" w:name="_Toc98669359"/>
      <w:bookmarkStart w:id="168" w:name="_Toc92168028"/>
      <w:bookmarkStart w:id="169" w:name="_Toc20732996"/>
      <w:bookmarkStart w:id="170" w:name="_Toc98669717"/>
      <w:r>
        <w:rPr>
          <w:rFonts w:hint="eastAsia" w:ascii="宋体" w:hAnsi="宋体" w:cs="宋体"/>
          <w:b/>
          <w:bCs/>
          <w:szCs w:val="21"/>
        </w:rPr>
        <w:t>5.2、</w:t>
      </w:r>
      <w:bookmarkEnd w:id="166"/>
      <w:bookmarkEnd w:id="167"/>
      <w:bookmarkEnd w:id="168"/>
      <w:bookmarkEnd w:id="169"/>
      <w:bookmarkEnd w:id="170"/>
      <w:r>
        <w:rPr>
          <w:rFonts w:hint="eastAsia" w:ascii="宋体" w:hAnsi="宋体" w:cs="宋体"/>
          <w:b/>
          <w:bCs/>
          <w:szCs w:val="21"/>
        </w:rPr>
        <w:t>谈判过程的保密</w:t>
      </w:r>
    </w:p>
    <w:p w14:paraId="30FE4ABA">
      <w:pPr>
        <w:spacing w:line="360" w:lineRule="auto"/>
        <w:ind w:firstLine="315"/>
        <w:rPr>
          <w:rFonts w:hint="eastAsia" w:ascii="宋体" w:hAnsi="宋体" w:cs="宋体"/>
          <w:bCs/>
          <w:szCs w:val="21"/>
        </w:rPr>
      </w:pPr>
      <w:r>
        <w:rPr>
          <w:rFonts w:hint="eastAsia" w:ascii="宋体" w:hAnsi="宋体" w:cs="宋体"/>
          <w:bCs/>
          <w:szCs w:val="21"/>
        </w:rPr>
        <w:t xml:space="preserve">5.2.1 </w:t>
      </w:r>
      <w:r>
        <w:rPr>
          <w:rFonts w:hint="eastAsia" w:ascii="宋体" w:hAnsi="宋体" w:cs="宋体"/>
          <w:szCs w:val="21"/>
        </w:rPr>
        <w:t>谈判将采取谈判小组所有成员集中与单一供应商分别进行谈判的方式（不向其他供应商公布、透露其价格等信息）。谈判开始后，直至向成交的供应商授予合同时止，凡是与审查、澄清、评价和比较谈判响应的有关资料以及成交建议等，均不得向供应商或与评审无关的其他人员透露。</w:t>
      </w:r>
    </w:p>
    <w:p w14:paraId="2685A1B5">
      <w:pPr>
        <w:spacing w:line="360" w:lineRule="auto"/>
        <w:ind w:firstLine="315"/>
        <w:rPr>
          <w:rFonts w:hint="eastAsia" w:ascii="宋体" w:hAnsi="宋体" w:cs="宋体"/>
          <w:bCs/>
          <w:szCs w:val="21"/>
        </w:rPr>
      </w:pPr>
      <w:r>
        <w:rPr>
          <w:rFonts w:hint="eastAsia" w:ascii="宋体" w:hAnsi="宋体" w:cs="宋体"/>
          <w:bCs/>
          <w:szCs w:val="21"/>
        </w:rPr>
        <w:t xml:space="preserve">5.2.2 </w:t>
      </w:r>
      <w:r>
        <w:rPr>
          <w:rFonts w:hint="eastAsia" w:ascii="宋体" w:hAnsi="宋体" w:cs="宋体"/>
          <w:szCs w:val="21"/>
        </w:rPr>
        <w:t>在谈判过程中，如果供应商试图在谈判响应文件审查、澄清、比较及授予合同等方面向采购人或参加谈判的人员施加任何影响，都将会导致其响应被拒绝</w:t>
      </w:r>
      <w:r>
        <w:rPr>
          <w:rFonts w:hint="eastAsia" w:ascii="宋体" w:hAnsi="宋体" w:cs="宋体"/>
          <w:bCs/>
          <w:szCs w:val="21"/>
        </w:rPr>
        <w:t>。</w:t>
      </w:r>
    </w:p>
    <w:p w14:paraId="6F9951F3">
      <w:pPr>
        <w:spacing w:line="340" w:lineRule="exact"/>
        <w:rPr>
          <w:rFonts w:hint="eastAsia" w:ascii="宋体" w:hAnsi="宋体" w:cs="宋体"/>
          <w:b/>
          <w:bCs/>
          <w:szCs w:val="21"/>
        </w:rPr>
      </w:pPr>
      <w:r>
        <w:rPr>
          <w:rFonts w:hint="eastAsia" w:ascii="宋体" w:hAnsi="宋体" w:cs="宋体"/>
          <w:b/>
          <w:bCs/>
          <w:szCs w:val="21"/>
        </w:rPr>
        <w:t>5.3、</w:t>
      </w:r>
      <w:bookmarkStart w:id="171" w:name="_Toc98669718"/>
      <w:bookmarkStart w:id="172" w:name="_Toc20732997"/>
      <w:bookmarkStart w:id="173" w:name="_Toc101264843"/>
      <w:bookmarkStart w:id="174" w:name="_Toc98669360"/>
      <w:bookmarkStart w:id="175" w:name="_Toc92168029"/>
      <w:r>
        <w:rPr>
          <w:rFonts w:hint="eastAsia" w:ascii="宋体" w:hAnsi="宋体" w:cs="宋体"/>
          <w:b/>
          <w:bCs/>
          <w:szCs w:val="21"/>
        </w:rPr>
        <w:t>谈判响应文件的初审</w:t>
      </w:r>
      <w:bookmarkEnd w:id="171"/>
      <w:bookmarkEnd w:id="172"/>
      <w:bookmarkEnd w:id="173"/>
      <w:bookmarkEnd w:id="174"/>
      <w:bookmarkEnd w:id="175"/>
    </w:p>
    <w:p w14:paraId="67E9D621">
      <w:pPr>
        <w:spacing w:line="360" w:lineRule="auto"/>
        <w:ind w:firstLine="315"/>
        <w:rPr>
          <w:rFonts w:hint="eastAsia" w:ascii="宋体" w:hAnsi="宋体" w:cs="宋体"/>
          <w:szCs w:val="21"/>
        </w:rPr>
      </w:pPr>
      <w:r>
        <w:rPr>
          <w:rFonts w:hint="eastAsia" w:ascii="宋体" w:hAnsi="宋体" w:cs="宋体"/>
          <w:szCs w:val="21"/>
        </w:rPr>
        <w:t>谈判开始后，谈判小组将依法对供应商的资格进行审查。</w:t>
      </w:r>
    </w:p>
    <w:p w14:paraId="10C89DC3">
      <w:pPr>
        <w:spacing w:line="360" w:lineRule="auto"/>
        <w:rPr>
          <w:rFonts w:hint="eastAsia" w:ascii="宋体" w:hAnsi="宋体" w:cs="宋体"/>
          <w:b/>
          <w:bCs/>
          <w:szCs w:val="21"/>
        </w:rPr>
      </w:pPr>
      <w:r>
        <w:rPr>
          <w:rFonts w:hint="eastAsia" w:ascii="宋体" w:hAnsi="宋体" w:cs="宋体"/>
          <w:b/>
          <w:bCs/>
          <w:szCs w:val="21"/>
        </w:rPr>
        <w:t>5.4、供应商符合性审查</w:t>
      </w:r>
    </w:p>
    <w:p w14:paraId="7B58F949">
      <w:pPr>
        <w:spacing w:line="360" w:lineRule="auto"/>
        <w:ind w:left="1" w:firstLine="417"/>
        <w:rPr>
          <w:rFonts w:hint="eastAsia" w:ascii="宋体" w:hAnsi="宋体" w:cs="宋体"/>
          <w:szCs w:val="21"/>
        </w:rPr>
      </w:pPr>
      <w:r>
        <w:rPr>
          <w:rFonts w:hint="eastAsia" w:ascii="宋体" w:hAnsi="宋体" w:cs="宋体"/>
          <w:szCs w:val="21"/>
        </w:rPr>
        <w:t>谈判小组应当对谈判响应文件进行符合性审查，审查内容主要是谈判响应文件的有效性、完整性和对谈判文件的响应程度，以确定是否满足谈判文件的实质性要求。</w:t>
      </w:r>
    </w:p>
    <w:p w14:paraId="1F604F3F">
      <w:pPr>
        <w:spacing w:line="340" w:lineRule="exact"/>
        <w:rPr>
          <w:rFonts w:hint="eastAsia" w:ascii="宋体" w:hAnsi="宋体" w:cs="宋体"/>
          <w:b/>
          <w:bCs/>
          <w:szCs w:val="21"/>
        </w:rPr>
      </w:pPr>
      <w:r>
        <w:rPr>
          <w:rFonts w:hint="eastAsia" w:ascii="宋体" w:hAnsi="宋体" w:cs="宋体"/>
          <w:b/>
          <w:bCs/>
          <w:szCs w:val="21"/>
        </w:rPr>
        <w:t>5.5、无效响应的情形</w:t>
      </w:r>
    </w:p>
    <w:p w14:paraId="4CCCE2C0">
      <w:pPr>
        <w:spacing w:line="360" w:lineRule="auto"/>
        <w:ind w:left="1" w:firstLine="417"/>
        <w:rPr>
          <w:rFonts w:hint="eastAsia" w:ascii="宋体" w:hAnsi="宋体" w:cs="宋体"/>
          <w:szCs w:val="21"/>
        </w:rPr>
      </w:pPr>
      <w:r>
        <w:rPr>
          <w:rFonts w:hint="eastAsia" w:ascii="宋体" w:hAnsi="宋体" w:cs="宋体"/>
          <w:szCs w:val="21"/>
        </w:rPr>
        <w:t>供应商存在下列情况之一的，其谈判响应无效：</w:t>
      </w:r>
    </w:p>
    <w:p w14:paraId="6B23C8CC">
      <w:pPr>
        <w:spacing w:line="360" w:lineRule="auto"/>
        <w:ind w:left="1" w:firstLine="422"/>
        <w:rPr>
          <w:rFonts w:hint="eastAsia" w:ascii="宋体" w:hAnsi="宋体" w:cs="宋体"/>
          <w:b/>
          <w:szCs w:val="21"/>
        </w:rPr>
      </w:pPr>
      <w:r>
        <w:rPr>
          <w:rFonts w:hint="eastAsia" w:ascii="宋体" w:hAnsi="宋体" w:cs="宋体"/>
          <w:b/>
          <w:szCs w:val="21"/>
        </w:rPr>
        <w:t>（1）未按规定由供应商的法定代表人签字或盖章；或其授权委托代理人未按规定签字；或未加盖供应商公章的；或签字人未经法定代表人有效授权委托的；</w:t>
      </w:r>
    </w:p>
    <w:p w14:paraId="56DB2D46">
      <w:pPr>
        <w:spacing w:line="360" w:lineRule="auto"/>
        <w:ind w:left="1" w:firstLine="422"/>
        <w:rPr>
          <w:rFonts w:hint="eastAsia" w:ascii="宋体" w:hAnsi="宋体" w:cs="宋体"/>
          <w:b/>
          <w:szCs w:val="21"/>
        </w:rPr>
      </w:pPr>
      <w:r>
        <w:rPr>
          <w:rFonts w:hint="eastAsia" w:ascii="宋体" w:hAnsi="宋体" w:cs="宋体"/>
          <w:b/>
          <w:szCs w:val="21"/>
        </w:rPr>
        <w:t>（2）单位负责人为同一人或者存在直接控股、管理关系的不同供应商参加同一合同项下的采购活动的；</w:t>
      </w:r>
    </w:p>
    <w:p w14:paraId="3164B750">
      <w:pPr>
        <w:spacing w:line="360" w:lineRule="auto"/>
        <w:ind w:left="1" w:firstLine="422"/>
        <w:rPr>
          <w:rFonts w:hint="eastAsia" w:ascii="宋体" w:hAnsi="宋体" w:cs="宋体"/>
          <w:b/>
          <w:szCs w:val="21"/>
        </w:rPr>
      </w:pPr>
      <w:r>
        <w:rPr>
          <w:rFonts w:hint="eastAsia" w:ascii="宋体" w:hAnsi="宋体" w:cs="宋体"/>
          <w:b/>
          <w:szCs w:val="21"/>
        </w:rPr>
        <w:t>（3）不具备谈判文件中规定的资格要求的；</w:t>
      </w:r>
    </w:p>
    <w:p w14:paraId="7FD94C94">
      <w:pPr>
        <w:spacing w:line="360" w:lineRule="auto"/>
        <w:ind w:left="1" w:firstLine="422"/>
        <w:rPr>
          <w:rFonts w:hint="eastAsia" w:ascii="宋体" w:hAnsi="宋体" w:cs="宋体"/>
          <w:b/>
          <w:szCs w:val="21"/>
        </w:rPr>
      </w:pPr>
      <w:r>
        <w:rPr>
          <w:rFonts w:hint="eastAsia" w:ascii="宋体" w:hAnsi="宋体" w:cs="宋体"/>
          <w:b/>
          <w:szCs w:val="21"/>
        </w:rPr>
        <w:t>（4）“信用中国”网站（www.creditchina.gov.cn）或 “信用江苏”网站（http://www.jscredit.gov.cn）查询结果为失信被执行人、重大税收违法案件当事人名单。</w:t>
      </w:r>
    </w:p>
    <w:p w14:paraId="4E5BC5C5">
      <w:pPr>
        <w:spacing w:line="360" w:lineRule="auto"/>
        <w:ind w:left="1" w:firstLine="422"/>
        <w:rPr>
          <w:rFonts w:hint="eastAsia" w:ascii="宋体" w:hAnsi="宋体" w:cs="宋体"/>
          <w:b/>
          <w:szCs w:val="21"/>
        </w:rPr>
      </w:pPr>
      <w:r>
        <w:rPr>
          <w:rFonts w:hint="eastAsia" w:ascii="宋体" w:hAnsi="宋体" w:cs="宋体"/>
          <w:b/>
          <w:szCs w:val="21"/>
        </w:rPr>
        <w:t>（5）不具备本项目资格条件的；</w:t>
      </w:r>
    </w:p>
    <w:p w14:paraId="31BF0815">
      <w:pPr>
        <w:spacing w:line="360" w:lineRule="auto"/>
        <w:ind w:left="1" w:firstLine="422"/>
        <w:rPr>
          <w:rFonts w:hint="eastAsia" w:ascii="宋体" w:hAnsi="宋体" w:cs="宋体"/>
          <w:b/>
          <w:szCs w:val="21"/>
        </w:rPr>
      </w:pPr>
      <w:r>
        <w:rPr>
          <w:rFonts w:hint="eastAsia" w:ascii="宋体" w:hAnsi="宋体" w:cs="宋体"/>
          <w:b/>
          <w:szCs w:val="21"/>
        </w:rPr>
        <w:t>（6）供应商提交的首轮报价或最终报价超过预算的；</w:t>
      </w:r>
    </w:p>
    <w:p w14:paraId="08A5EE97">
      <w:pPr>
        <w:spacing w:line="360" w:lineRule="auto"/>
        <w:ind w:left="1" w:firstLine="422"/>
        <w:rPr>
          <w:rFonts w:hint="eastAsia" w:ascii="宋体" w:hAnsi="宋体" w:cs="宋体"/>
          <w:b/>
          <w:szCs w:val="21"/>
        </w:rPr>
      </w:pPr>
      <w:r>
        <w:rPr>
          <w:rFonts w:hint="eastAsia" w:ascii="宋体" w:hAnsi="宋体" w:cs="宋体"/>
          <w:b/>
          <w:szCs w:val="21"/>
        </w:rPr>
        <w:t>（7）谈判委员会认为供应商的报价明显低于其他通过符合性审查供应商；</w:t>
      </w:r>
    </w:p>
    <w:p w14:paraId="60BECBFA">
      <w:pPr>
        <w:spacing w:line="360" w:lineRule="auto"/>
        <w:ind w:left="1" w:firstLine="422"/>
        <w:rPr>
          <w:rFonts w:hint="eastAsia" w:ascii="宋体" w:hAnsi="宋体" w:cs="宋体"/>
          <w:b/>
          <w:szCs w:val="21"/>
        </w:rPr>
      </w:pPr>
      <w:r>
        <w:rPr>
          <w:rFonts w:hint="eastAsia" w:ascii="宋体" w:hAnsi="宋体" w:cs="宋体"/>
          <w:b/>
          <w:szCs w:val="21"/>
        </w:rPr>
        <w:t>（8）经评委会认定偏离程度过大影响采购人实际使用的；</w:t>
      </w:r>
    </w:p>
    <w:p w14:paraId="12A42DB5">
      <w:pPr>
        <w:spacing w:line="360" w:lineRule="auto"/>
        <w:ind w:left="1" w:firstLine="422"/>
        <w:rPr>
          <w:rFonts w:hint="eastAsia" w:ascii="宋体" w:hAnsi="宋体" w:cs="宋体"/>
          <w:b/>
          <w:szCs w:val="21"/>
        </w:rPr>
      </w:pPr>
      <w:r>
        <w:rPr>
          <w:rFonts w:hint="eastAsia" w:ascii="宋体" w:hAnsi="宋体" w:cs="宋体"/>
          <w:b/>
          <w:szCs w:val="21"/>
        </w:rPr>
        <w:t>（9）供应商提交的是可选择报价的；</w:t>
      </w:r>
    </w:p>
    <w:p w14:paraId="3F7A4435">
      <w:pPr>
        <w:spacing w:line="360" w:lineRule="auto"/>
        <w:ind w:left="1" w:firstLine="422"/>
        <w:rPr>
          <w:rFonts w:hint="eastAsia" w:ascii="宋体" w:hAnsi="宋体" w:cs="宋体"/>
          <w:b/>
          <w:szCs w:val="21"/>
        </w:rPr>
      </w:pPr>
      <w:r>
        <w:rPr>
          <w:rFonts w:hint="eastAsia" w:ascii="宋体" w:hAnsi="宋体" w:cs="宋体"/>
          <w:b/>
          <w:szCs w:val="21"/>
        </w:rPr>
        <w:t>（10）谈判响应文件含有采购人不能接受的附加条件的;</w:t>
      </w:r>
    </w:p>
    <w:p w14:paraId="50977BB8">
      <w:pPr>
        <w:spacing w:line="360" w:lineRule="auto"/>
        <w:ind w:left="1" w:firstLine="422"/>
        <w:rPr>
          <w:rFonts w:hint="eastAsia" w:ascii="宋体" w:hAnsi="宋体" w:cs="宋体"/>
          <w:b/>
          <w:szCs w:val="21"/>
        </w:rPr>
      </w:pPr>
      <w:r>
        <w:rPr>
          <w:rFonts w:hint="eastAsia" w:ascii="宋体" w:hAnsi="宋体" w:cs="宋体"/>
          <w:b/>
          <w:szCs w:val="21"/>
        </w:rPr>
        <w:t>（11）供应商存在串通投标情形的；</w:t>
      </w:r>
    </w:p>
    <w:p w14:paraId="5E723335">
      <w:pPr>
        <w:spacing w:line="360" w:lineRule="auto"/>
        <w:ind w:left="1" w:firstLine="422"/>
        <w:rPr>
          <w:rFonts w:hint="eastAsia" w:ascii="宋体" w:hAnsi="宋体" w:cs="宋体"/>
          <w:b/>
          <w:szCs w:val="21"/>
        </w:rPr>
      </w:pPr>
      <w:r>
        <w:rPr>
          <w:rFonts w:hint="eastAsia" w:ascii="宋体" w:hAnsi="宋体" w:cs="宋体"/>
          <w:b/>
          <w:szCs w:val="21"/>
        </w:rPr>
        <w:t>（12）不符合法律、法规和谈判文件规定的其它实质性条款（须经谈判委员会半数以上同意）；</w:t>
      </w:r>
    </w:p>
    <w:p w14:paraId="5E2371A3">
      <w:pPr>
        <w:spacing w:line="360" w:lineRule="auto"/>
        <w:ind w:left="1" w:firstLine="422"/>
        <w:rPr>
          <w:rFonts w:hint="eastAsia" w:ascii="宋体" w:hAnsi="宋体" w:cs="宋体"/>
          <w:b/>
          <w:szCs w:val="21"/>
        </w:rPr>
      </w:pPr>
      <w:r>
        <w:rPr>
          <w:rFonts w:hint="eastAsia" w:ascii="宋体" w:hAnsi="宋体" w:cs="宋体"/>
          <w:b/>
          <w:szCs w:val="21"/>
        </w:rPr>
        <w:t>（13）项目完成期限超过谈判文件规定的期限；</w:t>
      </w:r>
    </w:p>
    <w:p w14:paraId="10CB5DF3">
      <w:pPr>
        <w:spacing w:line="360" w:lineRule="auto"/>
        <w:ind w:left="1" w:firstLine="422"/>
        <w:rPr>
          <w:rFonts w:hint="eastAsia" w:ascii="宋体" w:hAnsi="宋体" w:cs="宋体"/>
          <w:b/>
          <w:szCs w:val="21"/>
        </w:rPr>
      </w:pPr>
      <w:r>
        <w:rPr>
          <w:rFonts w:hint="eastAsia" w:ascii="宋体" w:hAnsi="宋体" w:cs="宋体"/>
          <w:b/>
          <w:szCs w:val="21"/>
        </w:rPr>
        <w:t>（14）项目采购需求中“★”条款响应有负偏离的；</w:t>
      </w:r>
    </w:p>
    <w:p w14:paraId="64DFDDAF">
      <w:pPr>
        <w:spacing w:line="360" w:lineRule="auto"/>
        <w:ind w:left="1" w:firstLine="422"/>
        <w:rPr>
          <w:rFonts w:hint="eastAsia" w:ascii="宋体" w:hAnsi="宋体" w:cs="宋体"/>
          <w:b/>
          <w:szCs w:val="21"/>
        </w:rPr>
      </w:pPr>
      <w:r>
        <w:rPr>
          <w:rFonts w:hint="eastAsia" w:ascii="宋体" w:hAnsi="宋体" w:cs="宋体"/>
          <w:b/>
          <w:szCs w:val="21"/>
        </w:rPr>
        <w:t>（15）①投标报价低于工程成本； ②改变文件规定的暂估价、暂列金额及甲供材料价格； ③改变谈判文件（工程量清单）明确列出的不可竞争费用项目或费率或计算基础的； ④改变谈判文件提供的工程量清单的项目编码、项目名称、项目特征、计量单位和工程量的；</w:t>
      </w:r>
      <w:r>
        <w:rPr>
          <w:rFonts w:hint="eastAsia" w:ascii="宋体" w:hAnsi="宋体" w:cs="宋体"/>
          <w:b/>
          <w:szCs w:val="21"/>
        </w:rPr>
        <w:fldChar w:fldCharType="begin"/>
      </w:r>
      <w:r>
        <w:rPr>
          <w:rFonts w:hint="eastAsia" w:ascii="宋体" w:hAnsi="宋体" w:cs="宋体"/>
          <w:b/>
          <w:szCs w:val="21"/>
        </w:rPr>
        <w:instrText xml:space="preserve">= 5 \* GB3</w:instrText>
      </w:r>
      <w:r>
        <w:rPr>
          <w:rFonts w:hint="eastAsia" w:ascii="宋体" w:hAnsi="宋体" w:cs="宋体"/>
          <w:b/>
          <w:szCs w:val="21"/>
        </w:rPr>
        <w:fldChar w:fldCharType="separate"/>
      </w:r>
      <w:r>
        <w:rPr>
          <w:rFonts w:hint="eastAsia" w:ascii="宋体" w:hAnsi="宋体" w:cs="宋体"/>
          <w:b/>
          <w:szCs w:val="21"/>
        </w:rPr>
        <w:t>⑤</w:t>
      </w:r>
      <w:r>
        <w:rPr>
          <w:rFonts w:hint="eastAsia" w:ascii="宋体" w:hAnsi="宋体" w:cs="宋体"/>
          <w:b/>
          <w:szCs w:val="21"/>
        </w:rPr>
        <w:fldChar w:fldCharType="end"/>
      </w:r>
      <w:r>
        <w:rPr>
          <w:rFonts w:hint="eastAsia" w:ascii="宋体" w:hAnsi="宋体" w:cs="宋体"/>
          <w:b/>
          <w:szCs w:val="21"/>
        </w:rPr>
        <w:t>供应商未填单价或合价的。</w:t>
      </w:r>
    </w:p>
    <w:p w14:paraId="7B487B6E">
      <w:pPr>
        <w:spacing w:line="340" w:lineRule="exact"/>
        <w:rPr>
          <w:rFonts w:hint="eastAsia" w:ascii="宋体" w:hAnsi="宋体" w:cs="宋体"/>
          <w:b/>
          <w:bCs/>
          <w:szCs w:val="21"/>
        </w:rPr>
      </w:pPr>
      <w:r>
        <w:rPr>
          <w:rFonts w:hint="eastAsia" w:ascii="宋体" w:hAnsi="宋体" w:cs="宋体"/>
          <w:b/>
          <w:bCs/>
          <w:szCs w:val="21"/>
        </w:rPr>
        <w:t>5.6、串通谈判的情形</w:t>
      </w:r>
    </w:p>
    <w:p w14:paraId="26B42AA4">
      <w:pPr>
        <w:spacing w:line="360" w:lineRule="auto"/>
        <w:ind w:firstLine="420"/>
        <w:rPr>
          <w:rFonts w:hint="eastAsia" w:ascii="宋体" w:hAnsi="宋体" w:cs="宋体"/>
          <w:szCs w:val="21"/>
        </w:rPr>
      </w:pPr>
      <w:r>
        <w:rPr>
          <w:rFonts w:hint="eastAsia" w:ascii="宋体" w:hAnsi="宋体" w:cs="宋体"/>
          <w:szCs w:val="21"/>
        </w:rPr>
        <w:t>有下列情形之一的，视为供应商串通谈判，谈判响应无效：</w:t>
      </w:r>
    </w:p>
    <w:p w14:paraId="68D49CD5">
      <w:pPr>
        <w:spacing w:line="360" w:lineRule="auto"/>
        <w:ind w:firstLine="527"/>
        <w:rPr>
          <w:rFonts w:hint="eastAsia" w:ascii="宋体" w:hAnsi="宋体" w:cs="宋体"/>
          <w:b/>
          <w:szCs w:val="21"/>
        </w:rPr>
      </w:pPr>
      <w:r>
        <w:rPr>
          <w:rFonts w:hint="eastAsia" w:ascii="宋体" w:hAnsi="宋体" w:cs="宋体"/>
          <w:b/>
          <w:szCs w:val="21"/>
        </w:rPr>
        <w:t>（1）不同供应商的谈判响应文件由同一单位或者个人编制；</w:t>
      </w:r>
    </w:p>
    <w:p w14:paraId="3F918D9E">
      <w:pPr>
        <w:spacing w:line="360" w:lineRule="auto"/>
        <w:ind w:firstLine="527"/>
        <w:rPr>
          <w:rFonts w:hint="eastAsia" w:ascii="宋体" w:hAnsi="宋体" w:cs="宋体"/>
          <w:b/>
          <w:szCs w:val="21"/>
        </w:rPr>
      </w:pPr>
      <w:r>
        <w:rPr>
          <w:rFonts w:hint="eastAsia" w:ascii="宋体" w:hAnsi="宋体" w:cs="宋体"/>
          <w:b/>
          <w:szCs w:val="21"/>
        </w:rPr>
        <w:t>（2）不同供应商委托同一单位或者个人办理谈判事宜；</w:t>
      </w:r>
    </w:p>
    <w:p w14:paraId="4DF2B200">
      <w:pPr>
        <w:spacing w:line="360" w:lineRule="auto"/>
        <w:ind w:firstLine="527"/>
        <w:rPr>
          <w:rFonts w:hint="eastAsia" w:ascii="宋体" w:hAnsi="宋体" w:cs="宋体"/>
          <w:b/>
          <w:szCs w:val="21"/>
        </w:rPr>
      </w:pPr>
      <w:r>
        <w:rPr>
          <w:rFonts w:hint="eastAsia" w:ascii="宋体" w:hAnsi="宋体" w:cs="宋体"/>
          <w:b/>
          <w:szCs w:val="21"/>
        </w:rPr>
        <w:t>（3）不同供应商的谈判响应文件载明的项目管理成员或者联系人员为同一人；</w:t>
      </w:r>
    </w:p>
    <w:p w14:paraId="72A38E67">
      <w:pPr>
        <w:spacing w:line="360" w:lineRule="auto"/>
        <w:ind w:firstLine="527"/>
        <w:rPr>
          <w:rFonts w:hint="eastAsia" w:ascii="宋体" w:hAnsi="宋体" w:cs="宋体"/>
          <w:b/>
          <w:szCs w:val="21"/>
        </w:rPr>
      </w:pPr>
      <w:r>
        <w:rPr>
          <w:rFonts w:hint="eastAsia" w:ascii="宋体" w:hAnsi="宋体" w:cs="宋体"/>
          <w:b/>
          <w:szCs w:val="21"/>
        </w:rPr>
        <w:t>（4）不同供应商的谈判响应文件异常一致或者谈判报价呈规律性差异；</w:t>
      </w:r>
    </w:p>
    <w:p w14:paraId="079AEE8C">
      <w:pPr>
        <w:spacing w:line="360" w:lineRule="auto"/>
        <w:ind w:firstLine="527"/>
        <w:rPr>
          <w:rFonts w:hint="eastAsia" w:ascii="宋体" w:hAnsi="宋体" w:cs="宋体"/>
          <w:b/>
          <w:szCs w:val="21"/>
        </w:rPr>
      </w:pPr>
      <w:r>
        <w:rPr>
          <w:rFonts w:hint="eastAsia" w:ascii="宋体" w:hAnsi="宋体" w:cs="宋体"/>
          <w:b/>
          <w:szCs w:val="21"/>
        </w:rPr>
        <w:t>（5）不同供应商的谈判响应文件相互混装；</w:t>
      </w:r>
    </w:p>
    <w:p w14:paraId="5DBE1E57">
      <w:pPr>
        <w:spacing w:line="340" w:lineRule="exact"/>
        <w:rPr>
          <w:rFonts w:hint="eastAsia" w:ascii="宋体" w:hAnsi="宋体" w:cs="宋体"/>
          <w:b/>
          <w:bCs/>
          <w:szCs w:val="21"/>
        </w:rPr>
      </w:pPr>
      <w:r>
        <w:rPr>
          <w:rFonts w:hint="eastAsia" w:ascii="宋体" w:hAnsi="宋体" w:cs="宋体"/>
          <w:b/>
          <w:bCs/>
          <w:szCs w:val="21"/>
        </w:rPr>
        <w:t>5.7、谈判内容及谈判响应文件的澄清、说明或修正</w:t>
      </w:r>
    </w:p>
    <w:p w14:paraId="619ED342">
      <w:pPr>
        <w:spacing w:line="360" w:lineRule="auto"/>
        <w:ind w:firstLine="315"/>
        <w:rPr>
          <w:rFonts w:hint="eastAsia" w:ascii="宋体" w:hAnsi="宋体" w:cs="宋体"/>
          <w:bCs/>
          <w:szCs w:val="21"/>
        </w:rPr>
      </w:pPr>
      <w:r>
        <w:rPr>
          <w:rFonts w:hint="eastAsia" w:ascii="宋体" w:hAnsi="宋体" w:cs="宋体"/>
          <w:bCs/>
          <w:szCs w:val="21"/>
        </w:rPr>
        <w:t>5.7.1 谈判的内容：</w:t>
      </w:r>
    </w:p>
    <w:p w14:paraId="251B7B25">
      <w:pPr>
        <w:spacing w:line="360" w:lineRule="auto"/>
        <w:ind w:firstLine="315"/>
        <w:rPr>
          <w:rFonts w:hint="eastAsia" w:ascii="宋体" w:hAnsi="宋体" w:cs="宋体"/>
          <w:bCs/>
          <w:szCs w:val="21"/>
        </w:rPr>
      </w:pPr>
      <w:r>
        <w:rPr>
          <w:rFonts w:hint="eastAsia" w:ascii="宋体" w:hAnsi="宋体" w:cs="宋体"/>
          <w:bCs/>
          <w:szCs w:val="21"/>
        </w:rPr>
        <w:t>（1）供应商所提供的服务内容及条款。</w:t>
      </w:r>
    </w:p>
    <w:p w14:paraId="2A50110F">
      <w:pPr>
        <w:spacing w:line="360" w:lineRule="auto"/>
        <w:ind w:firstLine="315"/>
        <w:rPr>
          <w:rFonts w:hint="eastAsia" w:ascii="宋体" w:hAnsi="宋体" w:cs="宋体"/>
          <w:bCs/>
          <w:szCs w:val="21"/>
        </w:rPr>
      </w:pPr>
      <w:r>
        <w:rPr>
          <w:rFonts w:hint="eastAsia" w:ascii="宋体" w:hAnsi="宋体" w:cs="宋体"/>
          <w:bCs/>
          <w:szCs w:val="21"/>
        </w:rPr>
        <w:t>（2）供应商所提供工程的价格。</w:t>
      </w:r>
    </w:p>
    <w:p w14:paraId="5CAB4563">
      <w:pPr>
        <w:spacing w:line="360" w:lineRule="auto"/>
        <w:ind w:firstLine="315"/>
        <w:rPr>
          <w:rFonts w:hint="eastAsia" w:ascii="宋体" w:hAnsi="宋体" w:cs="宋体"/>
          <w:bCs/>
          <w:szCs w:val="21"/>
        </w:rPr>
      </w:pPr>
      <w:r>
        <w:rPr>
          <w:rFonts w:hint="eastAsia" w:ascii="宋体" w:hAnsi="宋体" w:cs="宋体"/>
          <w:bCs/>
          <w:szCs w:val="21"/>
        </w:rPr>
        <w:t>（3）其他与本项目有关的事项。</w:t>
      </w:r>
    </w:p>
    <w:p w14:paraId="3191D81C">
      <w:pPr>
        <w:spacing w:line="360" w:lineRule="auto"/>
        <w:ind w:firstLine="315"/>
        <w:rPr>
          <w:rFonts w:hint="eastAsia" w:ascii="宋体" w:hAnsi="宋体" w:cs="宋体"/>
          <w:bCs/>
          <w:szCs w:val="21"/>
        </w:rPr>
      </w:pPr>
      <w:r>
        <w:rPr>
          <w:rFonts w:hint="eastAsia" w:ascii="宋体" w:hAnsi="宋体" w:cs="宋体"/>
          <w:bCs/>
          <w:szCs w:val="21"/>
        </w:rPr>
        <w:t>5.7.2 谈判小组在对谈判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1C684A">
      <w:pPr>
        <w:spacing w:line="360" w:lineRule="auto"/>
        <w:ind w:firstLine="315"/>
        <w:rPr>
          <w:rFonts w:hint="eastAsia" w:ascii="宋体" w:hAnsi="宋体" w:cs="宋体"/>
          <w:bCs/>
          <w:szCs w:val="21"/>
        </w:rPr>
      </w:pPr>
      <w:r>
        <w:rPr>
          <w:rFonts w:hint="eastAsia" w:ascii="宋体" w:hAnsi="宋体" w:cs="宋体"/>
          <w:bCs/>
          <w:szCs w:val="21"/>
        </w:rPr>
        <w:t>5.7.3 接到谈判小组澄清、说明或修正要求的供应商应派人按谈判小组通知的时间和地点做出书面澄清、说明或修正，书面澄清、说明或修正的内容须由供应商法定代表人或其授权委托代理人签署，并作为谈判响应文件的补充部分。</w:t>
      </w:r>
    </w:p>
    <w:p w14:paraId="33D9A89D">
      <w:pPr>
        <w:spacing w:line="360" w:lineRule="auto"/>
        <w:ind w:firstLine="315"/>
        <w:rPr>
          <w:rFonts w:hint="eastAsia" w:ascii="宋体" w:hAnsi="宋体" w:cs="宋体"/>
          <w:bCs/>
          <w:szCs w:val="21"/>
        </w:rPr>
      </w:pPr>
      <w:r>
        <w:rPr>
          <w:rFonts w:hint="eastAsia" w:ascii="宋体" w:hAnsi="宋体" w:cs="宋体"/>
          <w:bCs/>
          <w:szCs w:val="21"/>
        </w:rPr>
        <w:t>5.7.4 如供应商未</w:t>
      </w:r>
      <w:r>
        <w:rPr>
          <w:rFonts w:hint="eastAsia" w:ascii="宋体" w:hAnsi="宋体" w:cs="宋体"/>
          <w:szCs w:val="21"/>
        </w:rPr>
        <w:t>按本项目须知条款</w:t>
      </w:r>
      <w:r>
        <w:rPr>
          <w:rFonts w:hint="eastAsia" w:ascii="宋体" w:hAnsi="宋体" w:cs="宋体"/>
          <w:bCs/>
          <w:szCs w:val="21"/>
        </w:rPr>
        <w:t>的规定作出澄清、说明或修正，其后果由供应商自行承担。</w:t>
      </w:r>
    </w:p>
    <w:p w14:paraId="40265EAF">
      <w:pPr>
        <w:spacing w:line="340" w:lineRule="exact"/>
        <w:rPr>
          <w:rFonts w:hint="eastAsia" w:ascii="宋体" w:hAnsi="宋体" w:cs="宋体"/>
          <w:b/>
          <w:bCs/>
          <w:szCs w:val="21"/>
        </w:rPr>
      </w:pPr>
      <w:r>
        <w:rPr>
          <w:rFonts w:hint="eastAsia" w:ascii="宋体" w:hAnsi="宋体" w:cs="宋体"/>
          <w:b/>
          <w:bCs/>
          <w:szCs w:val="21"/>
        </w:rPr>
        <w:t>5.8、报价前后不一致的处理原则</w:t>
      </w:r>
    </w:p>
    <w:p w14:paraId="1B0B3CA3">
      <w:pPr>
        <w:spacing w:line="360" w:lineRule="auto"/>
        <w:ind w:left="1" w:firstLine="417"/>
        <w:rPr>
          <w:rFonts w:hint="eastAsia" w:ascii="宋体" w:hAnsi="宋体" w:cs="宋体"/>
          <w:szCs w:val="21"/>
        </w:rPr>
      </w:pPr>
      <w:r>
        <w:rPr>
          <w:rFonts w:hint="eastAsia" w:ascii="宋体" w:hAnsi="宋体" w:cs="宋体"/>
          <w:szCs w:val="21"/>
        </w:rPr>
        <w:t>5.8.1谈判响应文件报价出现前后不一致的，按照下列规定修正：</w:t>
      </w:r>
    </w:p>
    <w:p w14:paraId="1922039F">
      <w:pPr>
        <w:spacing w:line="360" w:lineRule="auto"/>
        <w:ind w:left="1" w:firstLine="207"/>
        <w:rPr>
          <w:rFonts w:hint="eastAsia" w:ascii="宋体" w:hAnsi="宋体" w:cs="宋体"/>
          <w:szCs w:val="21"/>
        </w:rPr>
      </w:pPr>
      <w:r>
        <w:rPr>
          <w:rFonts w:hint="eastAsia" w:ascii="宋体" w:hAnsi="宋体" w:cs="宋体"/>
          <w:szCs w:val="21"/>
        </w:rPr>
        <w:t>（1）谈判响应文件中谈判报价表（报价表）内容与谈判响应文件中相应内容不一致的，以谈判报价表（报价表）为准；</w:t>
      </w:r>
    </w:p>
    <w:p w14:paraId="48F1AC66">
      <w:pPr>
        <w:spacing w:line="360" w:lineRule="auto"/>
        <w:ind w:left="1" w:firstLine="207"/>
        <w:rPr>
          <w:rFonts w:hint="eastAsia" w:ascii="宋体" w:hAnsi="宋体" w:cs="宋体"/>
          <w:szCs w:val="21"/>
        </w:rPr>
      </w:pPr>
      <w:r>
        <w:rPr>
          <w:rFonts w:hint="eastAsia" w:ascii="宋体" w:hAnsi="宋体" w:cs="宋体"/>
          <w:szCs w:val="21"/>
        </w:rPr>
        <w:t>（2）最终报价表中的项目总报价与最终报价明细表(工程量清单报价)内容不一致时，以报价明细表(工程量清单报价)为准，并修改报价表中的项目总报价；</w:t>
      </w:r>
    </w:p>
    <w:p w14:paraId="7A6FA363">
      <w:pPr>
        <w:spacing w:line="360" w:lineRule="auto"/>
        <w:ind w:left="1" w:firstLine="207"/>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）大写金额和小写金额不一致的，以大写金额为准；</w:t>
      </w:r>
    </w:p>
    <w:p w14:paraId="27DC011B">
      <w:pPr>
        <w:spacing w:line="360" w:lineRule="auto"/>
        <w:ind w:left="1" w:firstLine="207"/>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）单价金额小数点或者百分比有明显错位的，以谈判报价表的总价为准，并修改单价；</w:t>
      </w:r>
    </w:p>
    <w:p w14:paraId="3E233144">
      <w:pPr>
        <w:spacing w:line="360" w:lineRule="auto"/>
        <w:ind w:left="1" w:firstLine="207"/>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）总价金额与按单价汇总金额不一致的，以单价金额计算结果为准。</w:t>
      </w:r>
    </w:p>
    <w:p w14:paraId="6725C9FA">
      <w:pPr>
        <w:spacing w:line="360" w:lineRule="auto"/>
        <w:ind w:left="1" w:firstLine="207"/>
        <w:rPr>
          <w:rFonts w:hint="eastAsia" w:ascii="宋体" w:hAnsi="宋体" w:cs="宋体"/>
          <w:szCs w:val="21"/>
        </w:rPr>
      </w:pPr>
      <w:r>
        <w:rPr>
          <w:rFonts w:hint="eastAsia" w:ascii="宋体" w:hAnsi="宋体" w:cs="宋体"/>
          <w:szCs w:val="21"/>
        </w:rPr>
        <w:t>同时出现两种以上不一致的，按照上述规定的顺序修正。修正后的报价经供应商法定代表人或其授权委托代理人签字确认后产生约束力，供应商不确认的，其谈判无效。</w:t>
      </w:r>
    </w:p>
    <w:p w14:paraId="2FC27894">
      <w:pPr>
        <w:spacing w:line="340" w:lineRule="exact"/>
        <w:rPr>
          <w:rFonts w:hint="eastAsia" w:ascii="宋体" w:hAnsi="宋体" w:cs="宋体"/>
          <w:b/>
          <w:bCs/>
          <w:szCs w:val="21"/>
        </w:rPr>
      </w:pPr>
      <w:r>
        <w:rPr>
          <w:rFonts w:hint="eastAsia" w:ascii="宋体" w:hAnsi="宋体" w:cs="宋体"/>
          <w:b/>
          <w:bCs/>
          <w:szCs w:val="21"/>
        </w:rPr>
        <w:t>5.9、谈判响应文件的评价和比较</w:t>
      </w:r>
    </w:p>
    <w:p w14:paraId="529889CD">
      <w:pPr>
        <w:spacing w:line="360" w:lineRule="auto"/>
        <w:ind w:firstLine="315"/>
        <w:rPr>
          <w:rFonts w:hint="eastAsia" w:ascii="宋体" w:hAnsi="宋体" w:cs="宋体"/>
          <w:b/>
          <w:szCs w:val="21"/>
          <w:u w:val="single"/>
        </w:rPr>
      </w:pPr>
      <w:r>
        <w:rPr>
          <w:rFonts w:hint="eastAsia" w:ascii="宋体" w:hAnsi="宋体" w:cs="宋体"/>
          <w:bCs/>
          <w:szCs w:val="21"/>
        </w:rPr>
        <w:t>5.9.1 谈判小组仅对确定为实质上响应谈判文件要求的供应商进行评价和比较，</w:t>
      </w:r>
      <w:r>
        <w:rPr>
          <w:rFonts w:hint="eastAsia" w:ascii="宋体" w:hAnsi="宋体" w:cs="宋体"/>
          <w:b/>
          <w:bCs/>
          <w:szCs w:val="21"/>
          <w:u w:val="single"/>
        </w:rPr>
        <w:t>成交的原则：</w:t>
      </w:r>
      <w:r>
        <w:rPr>
          <w:rFonts w:hint="eastAsia" w:ascii="宋体" w:hAnsi="宋体" w:cs="宋体"/>
          <w:b/>
          <w:szCs w:val="21"/>
          <w:u w:val="single"/>
        </w:rPr>
        <w:t>成交的标准为最低评标价法,即在符合采购需求、质量和服务相等的前提下，以最低评标价的供应商作为成交候选供应商。</w:t>
      </w:r>
    </w:p>
    <w:p w14:paraId="40EB549D">
      <w:pPr>
        <w:spacing w:line="360" w:lineRule="auto"/>
        <w:ind w:firstLine="315"/>
        <w:rPr>
          <w:rFonts w:hint="eastAsia" w:ascii="宋体" w:hAnsi="宋体" w:cs="宋体"/>
          <w:bCs/>
          <w:szCs w:val="21"/>
        </w:rPr>
      </w:pPr>
      <w:r>
        <w:rPr>
          <w:rFonts w:hint="eastAsia" w:ascii="宋体" w:hAnsi="宋体" w:cs="宋体"/>
          <w:bCs/>
          <w:szCs w:val="21"/>
        </w:rPr>
        <w:t>5.9.2 谈判小组在同参加谈判的所有供应商谈判结束后，供应商按照谈判小组的要求，在统一规定的时间内进行多次报价。</w:t>
      </w:r>
    </w:p>
    <w:p w14:paraId="1F19EE64">
      <w:pPr>
        <w:spacing w:line="360" w:lineRule="auto"/>
        <w:ind w:firstLine="525"/>
        <w:rPr>
          <w:rFonts w:hint="eastAsia" w:ascii="宋体" w:hAnsi="宋体" w:cs="宋体"/>
          <w:bCs/>
          <w:szCs w:val="21"/>
        </w:rPr>
      </w:pPr>
      <w:r>
        <w:rPr>
          <w:rFonts w:hint="eastAsia" w:ascii="宋体" w:hAnsi="宋体" w:cs="宋体"/>
          <w:bCs/>
          <w:szCs w:val="21"/>
        </w:rPr>
        <w:t xml:space="preserve">5.9.3 最低评标价法的程序及原则： </w:t>
      </w:r>
    </w:p>
    <w:p w14:paraId="40DB469F">
      <w:pPr>
        <w:spacing w:line="360" w:lineRule="auto"/>
        <w:ind w:firstLine="316"/>
        <w:rPr>
          <w:rFonts w:hint="eastAsia" w:ascii="宋体" w:hAnsi="宋体" w:cs="宋体"/>
          <w:b/>
          <w:szCs w:val="21"/>
          <w:u w:val="single"/>
        </w:rPr>
      </w:pPr>
      <w:r>
        <w:rPr>
          <w:rFonts w:hint="eastAsia" w:ascii="宋体" w:hAnsi="宋体" w:cs="宋体"/>
          <w:b/>
          <w:szCs w:val="21"/>
          <w:u w:val="single"/>
        </w:rPr>
        <w:t>（1）谈判小组对谈判响应文件的有效性、完整性和响应程度进行审查。</w:t>
      </w:r>
    </w:p>
    <w:p w14:paraId="373128DD">
      <w:pPr>
        <w:spacing w:line="360" w:lineRule="auto"/>
        <w:ind w:firstLine="316"/>
        <w:rPr>
          <w:rFonts w:hint="eastAsia" w:ascii="宋体" w:hAnsi="宋体" w:cs="宋体"/>
          <w:b/>
          <w:szCs w:val="21"/>
          <w:u w:val="single"/>
        </w:rPr>
      </w:pPr>
      <w:r>
        <w:rPr>
          <w:rFonts w:hint="eastAsia" w:ascii="宋体" w:hAnsi="宋体" w:cs="宋体"/>
          <w:b/>
          <w:szCs w:val="21"/>
          <w:u w:val="single"/>
        </w:rPr>
        <w:t>（2）谈判小组可以要求供应商对谈判响应文件中含义不明确、同类问题表述不一致或者有明显文字和计算错误的内容等作出必要的澄清、说明或者更正。供应商的澄清、说明或者更正不得超出谈判响应文件的范围或者改变响应文件的实质性内容（谈判小组要求供应商澄清、说明或者更正谈判响应文件以书面形式作出。供应商的澄清、说明或者更正应当由法定代表人或其授权委托代理人签字或者加盖公章）。</w:t>
      </w:r>
    </w:p>
    <w:p w14:paraId="73F97DB9">
      <w:pPr>
        <w:spacing w:line="360" w:lineRule="auto"/>
        <w:ind w:firstLine="525"/>
        <w:rPr>
          <w:rFonts w:hint="eastAsia" w:ascii="宋体" w:hAnsi="宋体" w:cs="宋体"/>
          <w:szCs w:val="21"/>
          <w:u w:val="single"/>
        </w:rPr>
      </w:pPr>
      <w:bookmarkStart w:id="176" w:name="_Toc163898415"/>
      <w:r>
        <w:rPr>
          <w:rFonts w:hint="eastAsia" w:ascii="宋体" w:hAnsi="宋体" w:cs="宋体"/>
          <w:szCs w:val="21"/>
        </w:rPr>
        <w:t xml:space="preserve">5.9.4 </w:t>
      </w:r>
      <w:r>
        <w:rPr>
          <w:rFonts w:hint="eastAsia" w:ascii="宋体" w:hAnsi="宋体" w:cs="宋体"/>
          <w:szCs w:val="21"/>
          <w:u w:val="single"/>
        </w:rPr>
        <w:t>最终评标价及成交供应商的确定</w:t>
      </w:r>
    </w:p>
    <w:p w14:paraId="4559216F">
      <w:pPr>
        <w:spacing w:line="360" w:lineRule="auto"/>
        <w:ind w:firstLine="316"/>
        <w:rPr>
          <w:rFonts w:hint="eastAsia" w:ascii="宋体" w:hAnsi="宋体" w:cs="宋体"/>
          <w:b/>
          <w:bCs/>
          <w:szCs w:val="21"/>
          <w:u w:val="single"/>
        </w:rPr>
      </w:pPr>
      <w:r>
        <w:rPr>
          <w:rFonts w:hint="eastAsia" w:ascii="宋体" w:hAnsi="宋体" w:cs="宋体"/>
          <w:b/>
          <w:bCs/>
          <w:szCs w:val="21"/>
          <w:u w:val="single"/>
        </w:rPr>
        <w:t>（1）对审查后的有效响应文件，供应商最终评标总价最低的将被推荐为第一成交供应商候选人。</w:t>
      </w:r>
    </w:p>
    <w:p w14:paraId="076489A7">
      <w:pPr>
        <w:spacing w:line="360" w:lineRule="auto"/>
        <w:ind w:firstLine="316"/>
        <w:rPr>
          <w:rFonts w:hint="eastAsia" w:ascii="宋体" w:hAnsi="宋体" w:cs="宋体"/>
          <w:b/>
          <w:bCs/>
          <w:szCs w:val="21"/>
          <w:u w:val="single"/>
        </w:rPr>
      </w:pPr>
      <w:r>
        <w:rPr>
          <w:rFonts w:hint="eastAsia" w:ascii="宋体" w:hAnsi="宋体" w:cs="宋体"/>
          <w:b/>
          <w:bCs/>
          <w:szCs w:val="21"/>
          <w:u w:val="single"/>
        </w:rPr>
        <w:t>（2）</w:t>
      </w:r>
      <w:r>
        <w:rPr>
          <w:rFonts w:hint="eastAsia" w:ascii="宋体" w:hAnsi="宋体" w:cs="宋体"/>
          <w:b/>
          <w:szCs w:val="21"/>
          <w:u w:val="single"/>
        </w:rPr>
        <w:t>如最低评标总价相同，则以企业资质的等级从高到低排序；若最低评标总价与企业资质均相同，则以项目经理的资质等级从高到低排序；若最低评标总价、企业资质与项目经理资质均相同，则由谈判小组采用现场随机抽取的方式确定第一成交供应商候选人。</w:t>
      </w:r>
    </w:p>
    <w:p w14:paraId="3701757B">
      <w:pPr>
        <w:spacing w:line="360" w:lineRule="auto"/>
        <w:ind w:firstLine="316"/>
        <w:rPr>
          <w:rFonts w:hint="eastAsia" w:ascii="宋体" w:hAnsi="宋体" w:cs="宋体"/>
          <w:b/>
          <w:bCs/>
          <w:szCs w:val="21"/>
          <w:u w:val="single"/>
        </w:rPr>
      </w:pPr>
      <w:r>
        <w:rPr>
          <w:rFonts w:hint="eastAsia" w:ascii="宋体" w:hAnsi="宋体" w:cs="宋体"/>
          <w:b/>
          <w:bCs/>
          <w:szCs w:val="21"/>
          <w:u w:val="single"/>
        </w:rPr>
        <w:t>（</w:t>
      </w:r>
      <w:r>
        <w:rPr>
          <w:rFonts w:ascii="宋体" w:hAnsi="宋体" w:cs="宋体"/>
          <w:b/>
          <w:bCs/>
          <w:szCs w:val="21"/>
          <w:u w:val="single"/>
        </w:rPr>
        <w:t>3</w:t>
      </w:r>
      <w:r>
        <w:rPr>
          <w:rFonts w:hint="eastAsia" w:ascii="宋体" w:hAnsi="宋体" w:cs="宋体"/>
          <w:b/>
          <w:bCs/>
          <w:szCs w:val="21"/>
          <w:u w:val="single"/>
        </w:rPr>
        <w:t>）谈判小组可按照最终评审总价由低到高的排序向采购人推荐3名成交供应商候选人，由采购人确定成交供应商。</w:t>
      </w:r>
    </w:p>
    <w:p w14:paraId="4E04B0CC">
      <w:pPr>
        <w:spacing w:line="360" w:lineRule="auto"/>
        <w:ind w:firstLine="316"/>
        <w:rPr>
          <w:rFonts w:hint="eastAsia" w:ascii="宋体" w:hAnsi="宋体" w:cs="宋体"/>
          <w:b/>
          <w:bCs/>
          <w:szCs w:val="21"/>
          <w:u w:val="single"/>
        </w:rPr>
      </w:pPr>
      <w:r>
        <w:rPr>
          <w:rFonts w:hint="eastAsia" w:ascii="宋体" w:hAnsi="宋体" w:cs="宋体"/>
          <w:b/>
          <w:bCs/>
          <w:szCs w:val="21"/>
          <w:u w:val="single"/>
        </w:rPr>
        <w:t>（</w:t>
      </w:r>
      <w:r>
        <w:rPr>
          <w:rFonts w:ascii="宋体" w:hAnsi="宋体" w:cs="宋体"/>
          <w:b/>
          <w:bCs/>
          <w:szCs w:val="21"/>
          <w:u w:val="single"/>
        </w:rPr>
        <w:t>4</w:t>
      </w:r>
      <w:r>
        <w:rPr>
          <w:rFonts w:hint="eastAsia" w:ascii="宋体" w:hAnsi="宋体" w:cs="宋体"/>
          <w:b/>
          <w:bCs/>
          <w:szCs w:val="21"/>
          <w:u w:val="single"/>
        </w:rPr>
        <w:t>）排名第一的成交供应商候选人放弃成交、因不可抗力不能履行合同，或者不按照谈判文件要求提交履约保证金等情形，不符合成交条件的，采购人可以按照谈判小组提出的成交供应商候选人名单排序依次确定其他成交供应商候选人为成交供应商，也可以重新组织采购。</w:t>
      </w:r>
    </w:p>
    <w:p w14:paraId="24FF5608">
      <w:pPr>
        <w:spacing w:line="360" w:lineRule="auto"/>
        <w:ind w:firstLine="316"/>
        <w:rPr>
          <w:rFonts w:hint="eastAsia" w:ascii="宋体" w:hAnsi="宋体" w:cs="宋体"/>
          <w:b/>
          <w:bCs/>
          <w:szCs w:val="21"/>
          <w:u w:val="single"/>
        </w:rPr>
      </w:pPr>
      <w:r>
        <w:rPr>
          <w:rFonts w:hint="eastAsia" w:ascii="宋体" w:hAnsi="宋体" w:cs="宋体"/>
          <w:b/>
          <w:bCs/>
          <w:szCs w:val="21"/>
          <w:u w:val="single"/>
        </w:rPr>
        <w:t>（5）成交供应商候选人派驻本项目的所有人员的注册信息应真实有效。若在评审结束时间之前，派驻人员的注册信息发生了公司变更且新公司与原公司无关联关系的，视为供应商无法履约，采购人保留不与其签订合同的权利。（人员的注册信息以“中华人民共和国住房和城乡建设部全国建筑市场监管公共服务平台”查询记录为准，采购人保留进行核查的权利）</w:t>
      </w:r>
    </w:p>
    <w:bookmarkEnd w:id="176"/>
    <w:p w14:paraId="7294352A">
      <w:pPr>
        <w:spacing w:line="340" w:lineRule="exact"/>
        <w:rPr>
          <w:rFonts w:hint="eastAsia" w:ascii="宋体" w:hAnsi="宋体" w:cs="宋体"/>
          <w:b/>
          <w:bCs/>
          <w:szCs w:val="21"/>
        </w:rPr>
      </w:pPr>
      <w:r>
        <w:rPr>
          <w:rFonts w:hint="eastAsia" w:ascii="宋体" w:hAnsi="宋体" w:cs="宋体"/>
          <w:b/>
          <w:bCs/>
          <w:szCs w:val="21"/>
        </w:rPr>
        <w:t>5.10、竞争性谈判特殊情况处理</w:t>
      </w:r>
    </w:p>
    <w:p w14:paraId="3AC8784E">
      <w:pPr>
        <w:spacing w:line="360" w:lineRule="auto"/>
        <w:ind w:firstLine="315"/>
        <w:rPr>
          <w:rFonts w:hint="eastAsia" w:ascii="宋体" w:hAnsi="宋体" w:cs="宋体"/>
          <w:bCs/>
          <w:szCs w:val="21"/>
        </w:rPr>
      </w:pPr>
      <w:r>
        <w:rPr>
          <w:rFonts w:hint="eastAsia" w:ascii="宋体" w:hAnsi="宋体" w:cs="宋体"/>
          <w:bCs/>
          <w:szCs w:val="21"/>
        </w:rPr>
        <w:t>5.10.1在谈判过程中，谈判小组可以根据谈判文件和谈判情况实质性变动采购需求中的技术、服务要求以及合同草案条款，但不得变动谈判文件中的其他内容。实质性变动的内容，须经采购人代表书面确认后进行。</w:t>
      </w:r>
    </w:p>
    <w:p w14:paraId="37BC1F7A">
      <w:pPr>
        <w:spacing w:line="360" w:lineRule="auto"/>
        <w:ind w:firstLine="315"/>
        <w:rPr>
          <w:rFonts w:hint="eastAsia" w:ascii="宋体" w:hAnsi="宋体" w:cs="宋体"/>
          <w:bCs/>
          <w:szCs w:val="21"/>
        </w:rPr>
      </w:pPr>
      <w:r>
        <w:rPr>
          <w:rFonts w:hint="eastAsia" w:ascii="宋体" w:hAnsi="宋体" w:cs="宋体"/>
          <w:bCs/>
          <w:szCs w:val="21"/>
        </w:rPr>
        <w:t>5.10.2 已提交谈判响应文件的供应商，由于谈判小组实质性变动采购需求中的技术、服务要求以及合同草案条款，在提交最后报价之前，可以根据谈判情况退出谈判。</w:t>
      </w:r>
    </w:p>
    <w:p w14:paraId="47106EAD">
      <w:pPr>
        <w:spacing w:line="360" w:lineRule="auto"/>
        <w:ind w:firstLine="315"/>
        <w:rPr>
          <w:rFonts w:hint="eastAsia" w:ascii="宋体" w:hAnsi="宋体" w:cs="宋体"/>
          <w:bCs/>
          <w:szCs w:val="21"/>
        </w:rPr>
      </w:pPr>
      <w:r>
        <w:rPr>
          <w:rFonts w:hint="eastAsia" w:ascii="宋体" w:hAnsi="宋体" w:cs="宋体"/>
          <w:bCs/>
          <w:szCs w:val="21"/>
        </w:rPr>
        <w:t>5.10.3 出现下列情形之一的，应当终止竞争性谈判采购活动，发布项目终止公告并说明原因，重新开展采购活动：</w:t>
      </w:r>
    </w:p>
    <w:p w14:paraId="5C72B724">
      <w:pPr>
        <w:spacing w:line="360" w:lineRule="auto"/>
        <w:ind w:firstLine="315"/>
        <w:rPr>
          <w:rFonts w:hint="eastAsia" w:ascii="宋体" w:hAnsi="宋体" w:cs="宋体"/>
          <w:bCs/>
          <w:szCs w:val="21"/>
        </w:rPr>
      </w:pPr>
      <w:r>
        <w:rPr>
          <w:rFonts w:hint="eastAsia" w:ascii="宋体" w:hAnsi="宋体" w:cs="宋体"/>
          <w:bCs/>
          <w:szCs w:val="21"/>
        </w:rPr>
        <w:t>（1）因情况变化，不再符合规定的竞争性谈判采购方式适用情形的。</w:t>
      </w:r>
    </w:p>
    <w:p w14:paraId="37E8C72E">
      <w:pPr>
        <w:spacing w:line="360" w:lineRule="auto"/>
        <w:ind w:firstLine="315"/>
        <w:rPr>
          <w:rFonts w:hint="eastAsia" w:ascii="宋体" w:hAnsi="宋体" w:cs="宋体"/>
          <w:bCs/>
          <w:szCs w:val="21"/>
        </w:rPr>
      </w:pPr>
      <w:r>
        <w:rPr>
          <w:rFonts w:hint="eastAsia" w:ascii="宋体" w:hAnsi="宋体" w:cs="宋体"/>
          <w:bCs/>
          <w:szCs w:val="21"/>
        </w:rPr>
        <w:t>（2）出现影响采购公正的违法、违规行为的。</w:t>
      </w:r>
    </w:p>
    <w:p w14:paraId="782E0726">
      <w:pPr>
        <w:spacing w:line="360" w:lineRule="auto"/>
        <w:ind w:firstLine="315"/>
        <w:rPr>
          <w:rFonts w:hint="eastAsia" w:ascii="宋体" w:hAnsi="宋体" w:cs="宋体"/>
          <w:bCs/>
          <w:szCs w:val="21"/>
        </w:rPr>
      </w:pPr>
      <w:r>
        <w:rPr>
          <w:rFonts w:hint="eastAsia" w:ascii="宋体" w:hAnsi="宋体" w:cs="宋体"/>
          <w:bCs/>
          <w:szCs w:val="21"/>
        </w:rPr>
        <w:t>（3）在采购过程中符合竞争要求的供应商或者报价未超过采购预算的供应商不足3家的。</w:t>
      </w:r>
    </w:p>
    <w:p w14:paraId="18D53C09">
      <w:pPr>
        <w:pStyle w:val="42"/>
        <w:tabs>
          <w:tab w:val="left" w:pos="283"/>
        </w:tabs>
        <w:spacing w:after="0" w:line="340" w:lineRule="exact"/>
        <w:jc w:val="left"/>
        <w:outlineLvl w:val="1"/>
        <w:rPr>
          <w:rFonts w:hint="eastAsia" w:ascii="宋体" w:hAnsi="宋体"/>
          <w:sz w:val="21"/>
          <w:szCs w:val="21"/>
        </w:rPr>
      </w:pPr>
      <w:r>
        <w:rPr>
          <w:rFonts w:hint="eastAsia" w:ascii="宋体" w:hAnsi="宋体"/>
          <w:sz w:val="21"/>
          <w:szCs w:val="21"/>
        </w:rPr>
        <w:t>六、授予合同</w:t>
      </w:r>
    </w:p>
    <w:p w14:paraId="476CE93B">
      <w:pPr>
        <w:spacing w:line="340" w:lineRule="exact"/>
        <w:rPr>
          <w:rFonts w:hint="eastAsia" w:ascii="宋体" w:hAnsi="宋体" w:cs="宋体"/>
          <w:b/>
          <w:bCs/>
          <w:szCs w:val="21"/>
        </w:rPr>
      </w:pPr>
      <w:r>
        <w:rPr>
          <w:rFonts w:hint="eastAsia" w:ascii="宋体" w:hAnsi="宋体" w:cs="宋体"/>
          <w:b/>
          <w:bCs/>
          <w:szCs w:val="21"/>
        </w:rPr>
        <w:t>6.1、合同授予标准</w:t>
      </w:r>
    </w:p>
    <w:p w14:paraId="383C4C9C">
      <w:pPr>
        <w:spacing w:line="360" w:lineRule="auto"/>
        <w:ind w:firstLine="315"/>
        <w:rPr>
          <w:rFonts w:hint="eastAsia" w:ascii="宋体" w:hAnsi="宋体" w:cs="宋体"/>
          <w:szCs w:val="21"/>
        </w:rPr>
      </w:pPr>
      <w:r>
        <w:rPr>
          <w:rFonts w:hint="eastAsia" w:ascii="宋体" w:hAnsi="宋体" w:cs="宋体"/>
          <w:szCs w:val="21"/>
        </w:rPr>
        <w:t>6.1.1 谈判小组将根据谈判结果向采购人推荐三名本项目的成交供应商候选人。</w:t>
      </w:r>
    </w:p>
    <w:p w14:paraId="7C53BDC8">
      <w:pPr>
        <w:spacing w:line="360" w:lineRule="auto"/>
        <w:ind w:firstLine="315"/>
        <w:rPr>
          <w:rFonts w:hint="eastAsia" w:ascii="宋体" w:hAnsi="宋体" w:cs="宋体"/>
          <w:szCs w:val="21"/>
        </w:rPr>
      </w:pPr>
      <w:r>
        <w:rPr>
          <w:rFonts w:hint="eastAsia" w:ascii="宋体" w:hAnsi="宋体" w:cs="宋体"/>
          <w:szCs w:val="21"/>
        </w:rPr>
        <w:t>6.1.2 采购人根据谈判小组的推荐确定最终成交供应商。</w:t>
      </w:r>
    </w:p>
    <w:p w14:paraId="33A49BF1">
      <w:pPr>
        <w:spacing w:line="340" w:lineRule="exact"/>
        <w:rPr>
          <w:rFonts w:hint="eastAsia" w:ascii="宋体" w:hAnsi="宋体" w:cs="宋体"/>
          <w:b/>
          <w:bCs/>
          <w:szCs w:val="21"/>
        </w:rPr>
      </w:pPr>
      <w:r>
        <w:rPr>
          <w:rFonts w:hint="eastAsia" w:ascii="宋体" w:hAnsi="宋体" w:cs="宋体"/>
          <w:b/>
          <w:bCs/>
          <w:szCs w:val="21"/>
        </w:rPr>
        <w:t>6.2、采购人接受和拒绝任何或所有谈判响应的权利</w:t>
      </w:r>
    </w:p>
    <w:p w14:paraId="4CFF30CF">
      <w:pPr>
        <w:spacing w:line="360" w:lineRule="auto"/>
        <w:ind w:firstLine="315"/>
        <w:rPr>
          <w:rFonts w:hint="eastAsia" w:ascii="宋体" w:hAnsi="宋体" w:cs="宋体"/>
          <w:szCs w:val="21"/>
        </w:rPr>
      </w:pPr>
      <w:r>
        <w:rPr>
          <w:rFonts w:hint="eastAsia" w:ascii="宋体" w:hAnsi="宋体" w:cs="宋体"/>
          <w:szCs w:val="21"/>
        </w:rPr>
        <w:t>6.2.1 为维护国家和社会公共利益，采购人保留在授标（即签订合同）之前任何时候接受或拒绝任何供应商成交的权利，且对受影响的供应商不承担任何责任。</w:t>
      </w:r>
    </w:p>
    <w:p w14:paraId="7500613E">
      <w:pPr>
        <w:spacing w:line="360" w:lineRule="auto"/>
        <w:ind w:firstLine="315"/>
        <w:rPr>
          <w:rFonts w:hint="eastAsia" w:ascii="宋体" w:hAnsi="宋体" w:cs="宋体"/>
          <w:szCs w:val="21"/>
        </w:rPr>
      </w:pPr>
      <w:r>
        <w:rPr>
          <w:rFonts w:hint="eastAsia" w:ascii="宋体" w:hAnsi="宋体" w:cs="宋体"/>
          <w:szCs w:val="21"/>
        </w:rPr>
        <w:t>6.2.2 因不可抗力或成交供应商不能履约等情形，采购人保留与其他候选供应商签订合同的权利。</w:t>
      </w:r>
    </w:p>
    <w:p w14:paraId="2A9F84E1">
      <w:pPr>
        <w:spacing w:line="340" w:lineRule="exact"/>
        <w:rPr>
          <w:rFonts w:hint="eastAsia" w:ascii="宋体" w:hAnsi="宋体" w:cs="宋体"/>
          <w:b/>
          <w:bCs/>
          <w:szCs w:val="21"/>
        </w:rPr>
      </w:pPr>
      <w:r>
        <w:rPr>
          <w:rFonts w:hint="eastAsia" w:ascii="宋体" w:hAnsi="宋体" w:cs="宋体"/>
          <w:b/>
          <w:bCs/>
          <w:szCs w:val="21"/>
        </w:rPr>
        <w:t>6.3、成交通知书</w:t>
      </w:r>
    </w:p>
    <w:p w14:paraId="44B9813B">
      <w:pPr>
        <w:spacing w:line="360" w:lineRule="auto"/>
        <w:ind w:firstLine="315"/>
        <w:rPr>
          <w:rFonts w:hint="eastAsia" w:ascii="宋体" w:hAnsi="宋体" w:cs="宋体"/>
          <w:szCs w:val="21"/>
        </w:rPr>
      </w:pPr>
      <w:r>
        <w:rPr>
          <w:rFonts w:hint="eastAsia" w:ascii="宋体" w:hAnsi="宋体" w:cs="宋体"/>
          <w:szCs w:val="21"/>
        </w:rPr>
        <w:t>6.3.1在谈判响应有效期期满之前,采购人将以书面形式通知成交供应商，成交供应商在收到成交通知书后，须立即以书面形式回复采购人，确认成交通知书已收，并同意接受。</w:t>
      </w:r>
    </w:p>
    <w:p w14:paraId="1B9F97F1">
      <w:pPr>
        <w:spacing w:line="360" w:lineRule="auto"/>
        <w:ind w:firstLine="315"/>
        <w:rPr>
          <w:rFonts w:hint="eastAsia" w:ascii="宋体" w:hAnsi="宋体" w:cs="宋体"/>
          <w:szCs w:val="21"/>
        </w:rPr>
      </w:pPr>
      <w:r>
        <w:rPr>
          <w:rFonts w:hint="eastAsia" w:ascii="宋体" w:hAnsi="宋体" w:cs="宋体"/>
          <w:szCs w:val="21"/>
        </w:rPr>
        <w:t>6.3.2成交通知书将是合同的一个组成部分。</w:t>
      </w:r>
    </w:p>
    <w:p w14:paraId="5494B46B">
      <w:pPr>
        <w:spacing w:line="340" w:lineRule="exact"/>
        <w:rPr>
          <w:rFonts w:hint="eastAsia" w:ascii="宋体" w:hAnsi="宋体" w:cs="宋体"/>
          <w:b/>
          <w:bCs/>
          <w:szCs w:val="21"/>
        </w:rPr>
      </w:pPr>
      <w:r>
        <w:rPr>
          <w:rFonts w:hint="eastAsia" w:ascii="宋体" w:hAnsi="宋体" w:cs="宋体"/>
          <w:b/>
          <w:bCs/>
          <w:szCs w:val="21"/>
        </w:rPr>
        <w:t>6.4、签订合同时不得对谈判响应做实质性更改</w:t>
      </w:r>
    </w:p>
    <w:p w14:paraId="67DA4BBA">
      <w:pPr>
        <w:spacing w:line="360" w:lineRule="auto"/>
        <w:ind w:firstLine="315"/>
        <w:rPr>
          <w:rFonts w:hint="eastAsia" w:ascii="宋体" w:hAnsi="宋体" w:cs="宋体"/>
          <w:szCs w:val="21"/>
        </w:rPr>
      </w:pPr>
      <w:r>
        <w:rPr>
          <w:rFonts w:hint="eastAsia" w:ascii="宋体" w:hAnsi="宋体" w:cs="宋体"/>
          <w:szCs w:val="21"/>
        </w:rPr>
        <w:t>6.4.1成交供应商应按成交通知书指定的时间、地点派代表前来与采购人签订合同。谈判文件、成交供应商的谈判响应文件、澄清文件及成交供应商与采购人的有关补充协议等，均为签订合同的依据。</w:t>
      </w:r>
    </w:p>
    <w:p w14:paraId="3C981D20">
      <w:pPr>
        <w:spacing w:line="360" w:lineRule="auto"/>
        <w:ind w:firstLine="315"/>
        <w:rPr>
          <w:rFonts w:hint="eastAsia" w:ascii="宋体" w:hAnsi="宋体" w:cs="宋体"/>
          <w:szCs w:val="21"/>
        </w:rPr>
      </w:pPr>
      <w:r>
        <w:rPr>
          <w:rFonts w:ascii="宋体" w:hAnsi="宋体" w:cs="宋体"/>
          <w:szCs w:val="21"/>
        </w:rPr>
        <w:t>6.4.2</w:t>
      </w:r>
      <w:r>
        <w:rPr>
          <w:rFonts w:hint="eastAsia" w:ascii="宋体" w:hAnsi="宋体" w:cs="宋体"/>
          <w:szCs w:val="21"/>
        </w:rPr>
        <w:t>采购人与成交供应商应当按照谈判文件确定的合同文本以及谈判标的、规格型号、采购金额、采购数量、技术和服务要求等事项签订采购合同。</w:t>
      </w:r>
    </w:p>
    <w:p w14:paraId="32A22673">
      <w:pPr>
        <w:spacing w:line="360" w:lineRule="auto"/>
        <w:ind w:firstLine="315"/>
        <w:rPr>
          <w:rFonts w:hint="eastAsia" w:ascii="宋体" w:hAnsi="宋体" w:cs="宋体"/>
          <w:szCs w:val="21"/>
        </w:rPr>
      </w:pPr>
      <w:r>
        <w:rPr>
          <w:rFonts w:hint="eastAsia" w:ascii="宋体" w:hAnsi="宋体" w:cs="宋体"/>
          <w:szCs w:val="21"/>
        </w:rPr>
        <w:t>6.4.</w:t>
      </w:r>
      <w:r>
        <w:rPr>
          <w:rFonts w:ascii="宋体" w:hAnsi="宋体" w:cs="宋体"/>
          <w:szCs w:val="21"/>
        </w:rPr>
        <w:t>3</w:t>
      </w:r>
      <w:r>
        <w:rPr>
          <w:rFonts w:hint="eastAsia" w:ascii="宋体" w:hAnsi="宋体" w:cs="宋体"/>
          <w:szCs w:val="21"/>
        </w:rPr>
        <w:t>采购合同履行中，采购人需追加与合同标的相同的服务、工程或货物的，在不改变合同其他条款的前提下，可以与成交供应商协商签订补充合同，但所有补充合同的采购金额不得超过原合同采购金额的百分之十。</w:t>
      </w:r>
    </w:p>
    <w:p w14:paraId="11A9CABE">
      <w:pPr>
        <w:spacing w:line="340" w:lineRule="exact"/>
        <w:rPr>
          <w:rFonts w:hint="eastAsia" w:ascii="宋体" w:hAnsi="宋体" w:cs="宋体"/>
          <w:b/>
          <w:bCs/>
          <w:szCs w:val="21"/>
        </w:rPr>
      </w:pPr>
      <w:r>
        <w:rPr>
          <w:rFonts w:hint="eastAsia" w:ascii="宋体" w:hAnsi="宋体" w:cs="宋体"/>
          <w:b/>
          <w:bCs/>
          <w:szCs w:val="21"/>
        </w:rPr>
        <w:t>6.5、签订合同</w:t>
      </w:r>
    </w:p>
    <w:p w14:paraId="39D3A102">
      <w:pPr>
        <w:spacing w:line="360" w:lineRule="auto"/>
        <w:ind w:firstLine="315"/>
        <w:rPr>
          <w:rFonts w:hint="eastAsia" w:ascii="宋体" w:hAnsi="宋体" w:cs="宋体"/>
          <w:szCs w:val="21"/>
        </w:rPr>
      </w:pPr>
      <w:r>
        <w:rPr>
          <w:rFonts w:hint="eastAsia" w:ascii="宋体" w:hAnsi="宋体" w:cs="宋体"/>
          <w:szCs w:val="21"/>
        </w:rPr>
        <w:t>6.5.1</w:t>
      </w:r>
      <w:r>
        <w:rPr>
          <w:rFonts w:ascii="宋体" w:hAnsi="宋体" w:cs="宋体"/>
          <w:szCs w:val="21"/>
        </w:rPr>
        <w:t xml:space="preserve"> </w:t>
      </w:r>
      <w:r>
        <w:rPr>
          <w:rFonts w:hint="eastAsia" w:ascii="宋体" w:hAnsi="宋体" w:cs="宋体"/>
          <w:szCs w:val="21"/>
        </w:rPr>
        <w:t>采购人与成交供应商应当在成交通知书发出之日起30日内签订采购合同。成交通知书对采购人和成交供应商均具有法律效力。成交通知书发出后，采购人改变成交结果的，或者成交供应商放弃成交项目的，应当依法承担法律责任。 </w:t>
      </w:r>
    </w:p>
    <w:p w14:paraId="06D4963B">
      <w:pPr>
        <w:spacing w:line="360" w:lineRule="auto"/>
        <w:ind w:firstLine="315"/>
        <w:rPr>
          <w:rFonts w:hint="eastAsia" w:ascii="宋体" w:hAnsi="宋体" w:cs="宋体"/>
          <w:szCs w:val="21"/>
        </w:rPr>
      </w:pPr>
      <w:r>
        <w:rPr>
          <w:rFonts w:hint="eastAsia" w:ascii="宋体" w:hAnsi="宋体" w:cs="宋体"/>
          <w:szCs w:val="21"/>
        </w:rPr>
        <w:t>6.5.</w:t>
      </w:r>
      <w:r>
        <w:rPr>
          <w:rFonts w:ascii="宋体" w:hAnsi="宋体" w:cs="宋体"/>
          <w:szCs w:val="21"/>
        </w:rPr>
        <w:t>2</w:t>
      </w:r>
      <w:r>
        <w:rPr>
          <w:rFonts w:hint="eastAsia" w:ascii="宋体" w:hAnsi="宋体" w:cs="宋体"/>
          <w:szCs w:val="21"/>
        </w:rPr>
        <w:t>成交供应商因不可抗力或者自身原因不能履行采购合同的，采购人可以与排位在成交供应商之后第一位的成交候选供应商签订采购合同，以此类推；也可以重新组织采购。</w:t>
      </w:r>
    </w:p>
    <w:p w14:paraId="24941A5F">
      <w:pPr>
        <w:spacing w:line="340" w:lineRule="exact"/>
        <w:rPr>
          <w:rFonts w:hint="eastAsia" w:ascii="宋体" w:hAnsi="宋体" w:cs="宋体"/>
          <w:b/>
          <w:bCs/>
          <w:szCs w:val="21"/>
        </w:rPr>
      </w:pPr>
      <w:r>
        <w:rPr>
          <w:rFonts w:hint="eastAsia" w:ascii="宋体" w:hAnsi="宋体" w:cs="宋体"/>
          <w:b/>
          <w:bCs/>
          <w:szCs w:val="21"/>
        </w:rPr>
        <w:t>6.6、履约保证金</w:t>
      </w:r>
    </w:p>
    <w:p w14:paraId="60C4662F">
      <w:pPr>
        <w:spacing w:line="360" w:lineRule="auto"/>
        <w:ind w:firstLine="315"/>
        <w:rPr>
          <w:rFonts w:hint="eastAsia" w:ascii="宋体" w:hAnsi="宋体" w:cs="宋体"/>
          <w:szCs w:val="21"/>
        </w:rPr>
      </w:pPr>
      <w:r>
        <w:rPr>
          <w:rFonts w:hint="eastAsia" w:ascii="宋体" w:hAnsi="宋体" w:cs="宋体"/>
          <w:szCs w:val="21"/>
        </w:rPr>
        <w:t>6.6.1</w:t>
      </w:r>
      <w:bookmarkStart w:id="177" w:name="_Hlk209182480"/>
      <w:r>
        <w:rPr>
          <w:rFonts w:hint="eastAsia" w:ascii="宋体" w:hAnsi="宋体" w:cs="宋体"/>
          <w:szCs w:val="21"/>
        </w:rPr>
        <w:t>成交供应商应在《成交通知书》发出之日起10个工作日内向采购人提交履约保证金，保证金方式：电子汇款。履约保证金的金额为成交金额的10%。履约保证金在竣工验收合格后，且成交供应商无违约行为并提供相关资料向采购人申请，采购人审核无误后无息退还。</w:t>
      </w:r>
      <w:bookmarkEnd w:id="177"/>
    </w:p>
    <w:p w14:paraId="6990F156">
      <w:pPr>
        <w:spacing w:line="360" w:lineRule="auto"/>
        <w:ind w:firstLine="315"/>
        <w:rPr>
          <w:rFonts w:hint="eastAsia" w:ascii="宋体" w:hAnsi="宋体" w:cs="宋体"/>
          <w:szCs w:val="21"/>
        </w:rPr>
      </w:pPr>
      <w:r>
        <w:rPr>
          <w:rFonts w:hint="eastAsia" w:ascii="宋体" w:hAnsi="宋体" w:cs="宋体"/>
          <w:szCs w:val="21"/>
        </w:rPr>
        <w:t>6.6.2 成交供应商如未在规定时限内完成履约保证金提交的，视为放弃成交资格。</w:t>
      </w:r>
    </w:p>
    <w:p w14:paraId="78876F64">
      <w:pPr>
        <w:spacing w:line="360" w:lineRule="auto"/>
        <w:ind w:firstLine="315"/>
        <w:rPr>
          <w:rFonts w:hint="eastAsia" w:ascii="楷体" w:hAnsi="楷体" w:eastAsia="楷体"/>
          <w:b/>
          <w:sz w:val="32"/>
          <w:szCs w:val="32"/>
        </w:rPr>
      </w:pPr>
      <w:r>
        <w:rPr>
          <w:rFonts w:hint="eastAsia" w:ascii="宋体" w:hAnsi="宋体" w:cs="宋体"/>
          <w:szCs w:val="21"/>
        </w:rPr>
        <w:t>6.6.3 如乙方未能履行合同规定的义务，甲方有权从履约保证金中取得补偿。</w:t>
      </w:r>
    </w:p>
    <w:p w14:paraId="7EC958E5">
      <w:pPr>
        <w:pStyle w:val="42"/>
        <w:spacing w:after="0" w:line="340" w:lineRule="exact"/>
        <w:jc w:val="left"/>
        <w:outlineLvl w:val="1"/>
        <w:rPr>
          <w:rFonts w:hint="eastAsia" w:ascii="宋体" w:hAnsi="宋体"/>
          <w:sz w:val="21"/>
          <w:szCs w:val="21"/>
        </w:rPr>
      </w:pPr>
      <w:r>
        <w:rPr>
          <w:rFonts w:hint="eastAsia" w:ascii="宋体" w:hAnsi="宋体"/>
          <w:sz w:val="21"/>
          <w:szCs w:val="21"/>
        </w:rPr>
        <w:t>七、询问、质疑和投诉</w:t>
      </w:r>
    </w:p>
    <w:p w14:paraId="0D6435EA">
      <w:pPr>
        <w:spacing w:line="340" w:lineRule="exact"/>
        <w:rPr>
          <w:rFonts w:hint="eastAsia" w:ascii="宋体" w:hAnsi="宋体" w:cs="宋体"/>
          <w:b/>
          <w:bCs/>
          <w:szCs w:val="21"/>
        </w:rPr>
      </w:pPr>
      <w:r>
        <w:rPr>
          <w:rFonts w:hint="eastAsia" w:ascii="宋体" w:hAnsi="宋体" w:cs="宋体"/>
          <w:b/>
          <w:bCs/>
          <w:szCs w:val="21"/>
        </w:rPr>
        <w:t>7.1、询问</w:t>
      </w:r>
    </w:p>
    <w:p w14:paraId="58751B10">
      <w:pPr>
        <w:spacing w:line="360" w:lineRule="auto"/>
        <w:ind w:firstLine="315"/>
        <w:rPr>
          <w:rFonts w:hint="eastAsia" w:ascii="宋体" w:hAnsi="宋体" w:cs="宋体"/>
          <w:szCs w:val="21"/>
        </w:rPr>
      </w:pPr>
      <w:r>
        <w:rPr>
          <w:rFonts w:hint="eastAsia" w:ascii="宋体" w:hAnsi="宋体" w:cs="宋体"/>
          <w:szCs w:val="21"/>
        </w:rPr>
        <w:t>7.1.1 供应商对谈判活动事项有疑问的，可以向采购人提出询问，采购人将依法作出答复，但答复的内容不涉及商业秘密。</w:t>
      </w:r>
    </w:p>
    <w:p w14:paraId="1F9C127A">
      <w:pPr>
        <w:spacing w:line="340" w:lineRule="exact"/>
        <w:rPr>
          <w:rFonts w:hint="eastAsia" w:ascii="宋体" w:hAnsi="宋体" w:cs="宋体"/>
          <w:b/>
          <w:bCs/>
          <w:szCs w:val="21"/>
        </w:rPr>
      </w:pPr>
      <w:r>
        <w:rPr>
          <w:rFonts w:hint="eastAsia" w:ascii="宋体" w:hAnsi="宋体" w:cs="宋体"/>
          <w:b/>
          <w:bCs/>
          <w:szCs w:val="21"/>
        </w:rPr>
        <w:t>7.2、质疑</w:t>
      </w:r>
    </w:p>
    <w:p w14:paraId="417D87BF">
      <w:pPr>
        <w:spacing w:line="360" w:lineRule="auto"/>
        <w:ind w:firstLine="315"/>
        <w:rPr>
          <w:rFonts w:hint="eastAsia" w:ascii="宋体" w:hAnsi="宋体" w:cs="宋体"/>
          <w:szCs w:val="21"/>
        </w:rPr>
      </w:pPr>
      <w:r>
        <w:rPr>
          <w:rFonts w:hint="eastAsia" w:ascii="宋体" w:hAnsi="宋体" w:cs="宋体"/>
          <w:szCs w:val="21"/>
        </w:rPr>
        <w:t>7.2.1质疑供应商是指直接参加本项目采购活动的供应商；供应商认为采购文件、采购过程和成交结果使自己的合法权益受到损害的，可以在知道或者应当知道其权益受到损害之日起七个工作日内，将质疑文件原件送达采购人。对谈判文件提出质疑的，自供应商获得谈判文件之日起计算；对谈判过程提出质疑的，自谈判程序环节结束之日起计算；对成交结果提出质疑的，自成交结果公告届满之日起计算。</w:t>
      </w:r>
    </w:p>
    <w:p w14:paraId="07CD716C">
      <w:pPr>
        <w:spacing w:line="360" w:lineRule="auto"/>
        <w:ind w:firstLine="315"/>
        <w:rPr>
          <w:rFonts w:hint="eastAsia" w:ascii="宋体" w:hAnsi="宋体" w:cs="宋体"/>
          <w:szCs w:val="21"/>
        </w:rPr>
      </w:pPr>
      <w:r>
        <w:rPr>
          <w:rFonts w:hint="eastAsia" w:ascii="宋体" w:hAnsi="宋体" w:cs="宋体"/>
          <w:szCs w:val="21"/>
        </w:rPr>
        <w:t>7.2.2供应商应按照“谁主张、谁举证”的原则对质疑内容提供相关证明材料，并对质疑内容的真实性承担责任。供应商不得虚假质疑和恶意质疑，如通过捏造事实、伪造证明材料等方式提出质疑，阻碍招投标活动正常进行的，属于严重不良行为，采购人将提请财政部门将其列入不良行为记录名单，并依法予以处罚。</w:t>
      </w:r>
    </w:p>
    <w:p w14:paraId="6F84F733">
      <w:pPr>
        <w:spacing w:line="360" w:lineRule="auto"/>
        <w:ind w:firstLine="315"/>
        <w:rPr>
          <w:rFonts w:hint="eastAsia" w:ascii="宋体" w:hAnsi="宋体" w:cs="宋体"/>
          <w:szCs w:val="21"/>
        </w:rPr>
      </w:pPr>
      <w:r>
        <w:rPr>
          <w:rFonts w:hint="eastAsia" w:ascii="宋体" w:hAnsi="宋体" w:cs="宋体"/>
          <w:szCs w:val="21"/>
        </w:rPr>
        <w:t>7.2.3 采购人在收到供应商的书面质疑后将及时组织调查核实，在七个工作日内作出答复，并以书面或在网站公告形式通知质疑供应商和其他有关供应商，答复的内容不涉及商业秘密。</w:t>
      </w:r>
    </w:p>
    <w:p w14:paraId="5B0C5DDB">
      <w:pPr>
        <w:spacing w:line="340" w:lineRule="exact"/>
        <w:rPr>
          <w:rFonts w:hint="eastAsia" w:ascii="宋体" w:hAnsi="宋体" w:cs="宋体"/>
          <w:b/>
          <w:bCs/>
          <w:szCs w:val="21"/>
        </w:rPr>
      </w:pPr>
      <w:r>
        <w:rPr>
          <w:rFonts w:hint="eastAsia" w:ascii="宋体" w:hAnsi="宋体" w:cs="宋体"/>
          <w:b/>
          <w:bCs/>
          <w:szCs w:val="21"/>
        </w:rPr>
        <w:t>7.3、投诉</w:t>
      </w:r>
    </w:p>
    <w:p w14:paraId="04797DFE">
      <w:pPr>
        <w:spacing w:line="360" w:lineRule="auto"/>
        <w:ind w:firstLine="315"/>
        <w:rPr>
          <w:rFonts w:hint="eastAsia" w:ascii="楷体" w:hAnsi="楷体" w:eastAsia="楷体"/>
          <w:sz w:val="30"/>
          <w:szCs w:val="30"/>
        </w:rPr>
      </w:pPr>
      <w:r>
        <w:rPr>
          <w:rFonts w:hint="eastAsia" w:ascii="宋体" w:hAnsi="宋体" w:cs="宋体"/>
          <w:szCs w:val="21"/>
        </w:rPr>
        <w:t>质疑供应商对采购人的答复不满意，以及采购人未在规定的时间内作出答复的，可以在答复期满后十五个工作日内向采购项目同级财政部门投诉。</w:t>
      </w:r>
    </w:p>
    <w:p w14:paraId="43E32E2C">
      <w:pPr>
        <w:pStyle w:val="42"/>
        <w:spacing w:after="0" w:line="340" w:lineRule="exact"/>
        <w:jc w:val="left"/>
        <w:outlineLvl w:val="1"/>
        <w:rPr>
          <w:rFonts w:hint="eastAsia" w:ascii="宋体" w:hAnsi="宋体"/>
          <w:sz w:val="21"/>
          <w:szCs w:val="21"/>
        </w:rPr>
      </w:pPr>
      <w:r>
        <w:rPr>
          <w:rFonts w:hint="eastAsia" w:ascii="宋体" w:hAnsi="宋体"/>
          <w:sz w:val="21"/>
          <w:szCs w:val="21"/>
        </w:rPr>
        <w:t>八、诚实信用</w:t>
      </w:r>
    </w:p>
    <w:p w14:paraId="7D6F30F6">
      <w:pPr>
        <w:spacing w:line="340" w:lineRule="exact"/>
        <w:rPr>
          <w:rFonts w:hint="eastAsia" w:ascii="宋体" w:hAnsi="宋体" w:cs="宋体"/>
          <w:b/>
          <w:bCs/>
          <w:szCs w:val="21"/>
        </w:rPr>
      </w:pPr>
      <w:r>
        <w:rPr>
          <w:rFonts w:hint="eastAsia" w:ascii="宋体" w:hAnsi="宋体" w:cs="宋体"/>
          <w:b/>
          <w:bCs/>
          <w:szCs w:val="21"/>
        </w:rPr>
        <w:t>8.1、诚实信用</w:t>
      </w:r>
    </w:p>
    <w:p w14:paraId="2DB64B8C">
      <w:pPr>
        <w:spacing w:line="360" w:lineRule="auto"/>
        <w:ind w:firstLine="315"/>
        <w:rPr>
          <w:rFonts w:hint="eastAsia" w:ascii="宋体" w:hAnsi="宋体" w:cs="宋体"/>
          <w:szCs w:val="21"/>
        </w:rPr>
      </w:pPr>
      <w:r>
        <w:rPr>
          <w:rFonts w:hint="eastAsia" w:ascii="宋体" w:hAnsi="宋体" w:cs="宋体"/>
          <w:szCs w:val="21"/>
        </w:rPr>
        <w:t>8.1.1 供应商之间不得相互串通竞标报价，不得妨碍其他供应商的公平竞争，不得损害采购人和其他供应商的合法权益。</w:t>
      </w:r>
    </w:p>
    <w:p w14:paraId="457D0F34">
      <w:pPr>
        <w:spacing w:line="360" w:lineRule="auto"/>
        <w:ind w:firstLine="315"/>
        <w:rPr>
          <w:rFonts w:hint="eastAsia" w:ascii="宋体" w:hAnsi="宋体" w:cs="宋体"/>
          <w:szCs w:val="21"/>
        </w:rPr>
      </w:pPr>
      <w:r>
        <w:rPr>
          <w:rFonts w:hint="eastAsia" w:ascii="宋体" w:hAnsi="宋体" w:cs="宋体"/>
          <w:szCs w:val="21"/>
        </w:rPr>
        <w:t>8.1.2 供应商不得以向采购人工作人员、谈判小组成员行贿或者采取其他不正当手段谋取中标/成交。</w:t>
      </w:r>
    </w:p>
    <w:p w14:paraId="69BD1375">
      <w:pPr>
        <w:spacing w:line="360" w:lineRule="auto"/>
        <w:ind w:firstLine="315"/>
        <w:rPr>
          <w:rFonts w:hint="eastAsia" w:ascii="宋体" w:hAnsi="宋体" w:cs="宋体"/>
          <w:szCs w:val="21"/>
        </w:rPr>
      </w:pPr>
      <w:r>
        <w:rPr>
          <w:rFonts w:hint="eastAsia" w:ascii="宋体" w:hAnsi="宋体" w:cs="宋体"/>
          <w:szCs w:val="21"/>
        </w:rPr>
        <w:t>8.1.3供应商不得虚假承诺，否则，按照提供虚假材料谋取中标/成交处理。</w:t>
      </w:r>
    </w:p>
    <w:p w14:paraId="15A059FB">
      <w:pPr>
        <w:widowControl/>
        <w:jc w:val="left"/>
        <w:rPr>
          <w:rFonts w:hint="eastAsia" w:ascii="宋体" w:hAnsi="宋体" w:cs="宋体"/>
          <w:b/>
          <w:sz w:val="28"/>
          <w:szCs w:val="28"/>
        </w:rPr>
      </w:pPr>
      <w:bookmarkStart w:id="178" w:name="_Toc447265271"/>
      <w:bookmarkStart w:id="179" w:name="_Toc447265557"/>
      <w:bookmarkStart w:id="180" w:name="_Toc488002604"/>
      <w:r>
        <w:rPr>
          <w:rFonts w:ascii="宋体" w:hAnsi="宋体" w:cs="宋体"/>
          <w:b/>
          <w:bCs/>
          <w:sz w:val="28"/>
          <w:szCs w:val="28"/>
        </w:rPr>
        <w:br w:type="page" w:clear="all"/>
      </w:r>
      <w:bookmarkEnd w:id="178"/>
      <w:bookmarkEnd w:id="179"/>
      <w:bookmarkEnd w:id="180"/>
    </w:p>
    <w:p w14:paraId="43A8A9EE">
      <w:pPr>
        <w:pStyle w:val="233"/>
        <w:spacing w:before="240" w:after="120" w:line="360" w:lineRule="auto"/>
        <w:rPr>
          <w:rFonts w:hint="eastAsia" w:ascii="宋体" w:hAnsi="宋体" w:eastAsia="宋体"/>
          <w:b/>
          <w:sz w:val="21"/>
          <w:szCs w:val="21"/>
        </w:rPr>
      </w:pPr>
      <w:r>
        <w:rPr>
          <w:rFonts w:hint="eastAsia" w:ascii="宋体" w:hAnsi="宋体" w:eastAsia="宋体" w:cs="宋体"/>
          <w:b/>
          <w:bCs w:val="0"/>
          <w:sz w:val="28"/>
          <w:szCs w:val="28"/>
        </w:rPr>
        <w:t>第三章 评审办法</w:t>
      </w:r>
    </w:p>
    <w:p w14:paraId="388BEEB2">
      <w:pPr>
        <w:spacing w:line="360" w:lineRule="auto"/>
        <w:outlineLvl w:val="1"/>
        <w:rPr>
          <w:rFonts w:hint="eastAsia" w:ascii="宋体" w:hAnsi="宋体"/>
          <w:b/>
          <w:szCs w:val="21"/>
        </w:rPr>
      </w:pPr>
      <w:r>
        <w:rPr>
          <w:rFonts w:hint="eastAsia" w:ascii="宋体" w:hAnsi="宋体"/>
          <w:b/>
          <w:szCs w:val="21"/>
        </w:rPr>
        <w:t>一、本项目采用最低评标价法</w:t>
      </w:r>
    </w:p>
    <w:p w14:paraId="6B50F755">
      <w:pPr>
        <w:spacing w:line="360" w:lineRule="auto"/>
        <w:ind w:firstLine="420"/>
        <w:rPr>
          <w:rFonts w:hint="eastAsia" w:ascii="宋体" w:hAnsi="宋体"/>
          <w:szCs w:val="21"/>
        </w:rPr>
      </w:pPr>
      <w:r>
        <w:rPr>
          <w:rFonts w:hint="eastAsia" w:ascii="宋体" w:hAnsi="宋体"/>
          <w:szCs w:val="21"/>
        </w:rPr>
        <w:t>本项目采用最低评标价法。最低评标价法是指响应文件满足谈判文件全部实质性要求且报价（含税总报价）最低的供应商为成交供应商的评标方法。</w:t>
      </w:r>
    </w:p>
    <w:p w14:paraId="1C2D5B76">
      <w:pPr>
        <w:spacing w:line="360" w:lineRule="auto"/>
        <w:outlineLvl w:val="1"/>
        <w:rPr>
          <w:rFonts w:hint="eastAsia" w:ascii="宋体" w:hAnsi="宋体"/>
          <w:b/>
          <w:szCs w:val="21"/>
        </w:rPr>
      </w:pPr>
      <w:r>
        <w:rPr>
          <w:rFonts w:hint="eastAsia" w:ascii="宋体" w:hAnsi="宋体"/>
          <w:b/>
          <w:szCs w:val="21"/>
        </w:rPr>
        <w:t>二、无效标条款</w:t>
      </w:r>
    </w:p>
    <w:p w14:paraId="131A80C8">
      <w:pPr>
        <w:spacing w:line="360" w:lineRule="auto"/>
        <w:ind w:firstLine="420"/>
        <w:rPr>
          <w:rFonts w:hint="eastAsia" w:ascii="宋体" w:hAnsi="宋体"/>
          <w:szCs w:val="21"/>
        </w:rPr>
      </w:pPr>
      <w:r>
        <w:rPr>
          <w:rFonts w:hint="eastAsia" w:ascii="宋体" w:hAnsi="宋体"/>
          <w:szCs w:val="21"/>
        </w:rPr>
        <w:t>详见第二章供应商须知第5.5条</w:t>
      </w:r>
      <w:r>
        <w:rPr>
          <w:rFonts w:ascii="宋体" w:hAnsi="宋体"/>
          <w:szCs w:val="21"/>
        </w:rPr>
        <w:t>款。</w:t>
      </w:r>
    </w:p>
    <w:p w14:paraId="7ACB33FF">
      <w:pPr>
        <w:widowControl/>
        <w:jc w:val="left"/>
        <w:rPr>
          <w:rFonts w:hint="eastAsia" w:ascii="宋体" w:hAnsi="宋体"/>
          <w:color w:val="C00000"/>
          <w:szCs w:val="21"/>
        </w:rPr>
      </w:pPr>
      <w:r>
        <w:rPr>
          <w:rFonts w:ascii="宋体" w:hAnsi="宋体"/>
          <w:color w:val="C00000"/>
          <w:szCs w:val="21"/>
        </w:rPr>
        <w:br w:type="page" w:clear="all"/>
      </w:r>
    </w:p>
    <w:p w14:paraId="6096B871">
      <w:pPr>
        <w:pStyle w:val="233"/>
        <w:rPr>
          <w:rFonts w:hint="eastAsia" w:cs="宋体" w:asciiTheme="minorEastAsia" w:hAnsiTheme="minorEastAsia" w:eastAsiaTheme="minorEastAsia"/>
          <w:b/>
          <w:bCs w:val="0"/>
          <w:sz w:val="28"/>
          <w:szCs w:val="28"/>
        </w:rPr>
      </w:pPr>
      <w:bookmarkStart w:id="181" w:name="_Toc107822570"/>
      <w:bookmarkStart w:id="182" w:name="_Toc475472623"/>
      <w:bookmarkStart w:id="183" w:name="_Toc226969353"/>
      <w:bookmarkStart w:id="184" w:name="_Toc447265599"/>
      <w:bookmarkStart w:id="185" w:name="_Toc227057959"/>
      <w:bookmarkStart w:id="186" w:name="_Toc447265313"/>
      <w:r>
        <w:rPr>
          <w:rFonts w:hint="eastAsia" w:ascii="宋体" w:hAnsi="宋体"/>
          <w:b/>
        </w:rPr>
        <w:t>★</w:t>
      </w:r>
      <w:r>
        <w:rPr>
          <w:rFonts w:hint="eastAsia" w:ascii="宋体" w:hAnsi="宋体" w:eastAsia="宋体" w:cs="宋体"/>
          <w:b/>
          <w:bCs w:val="0"/>
          <w:sz w:val="28"/>
          <w:szCs w:val="28"/>
        </w:rPr>
        <w:t xml:space="preserve">第四章 </w:t>
      </w:r>
      <w:r>
        <w:rPr>
          <w:rFonts w:hint="eastAsia" w:cs="宋体" w:asciiTheme="minorEastAsia" w:hAnsiTheme="minorEastAsia" w:eastAsiaTheme="minorEastAsia"/>
          <w:b/>
          <w:bCs w:val="0"/>
          <w:sz w:val="28"/>
          <w:szCs w:val="28"/>
        </w:rPr>
        <w:t>合同格式及条款（参考格式）</w:t>
      </w:r>
    </w:p>
    <w:p w14:paraId="112EBC2B">
      <w:pPr>
        <w:widowControl/>
        <w:spacing w:line="360" w:lineRule="auto"/>
        <w:jc w:val="left"/>
        <w:rPr>
          <w:rFonts w:hint="eastAsia" w:ascii="宋体" w:hAnsi="宋体" w:cs="宋体"/>
          <w:b/>
          <w:szCs w:val="21"/>
        </w:rPr>
      </w:pPr>
    </w:p>
    <w:p w14:paraId="48F56D6D">
      <w:pPr>
        <w:pStyle w:val="4"/>
        <w:ind w:left="720" w:hanging="720"/>
        <w:jc w:val="center"/>
        <w:rPr>
          <w:rFonts w:hint="eastAsia" w:ascii="仿宋" w:hAnsi="仿宋" w:eastAsia="仿宋" w:cs="仿宋"/>
          <w:color w:val="auto"/>
        </w:rPr>
      </w:pPr>
      <w:bookmarkStart w:id="187" w:name="_Toc168041458"/>
      <w:r>
        <w:rPr>
          <w:rFonts w:hint="eastAsia" w:ascii="仿宋" w:hAnsi="仿宋" w:eastAsia="仿宋" w:cs="仿宋"/>
          <w:color w:val="auto"/>
        </w:rPr>
        <w:t>第一部分 合同协议书</w:t>
      </w:r>
      <w:bookmarkEnd w:id="187"/>
    </w:p>
    <w:p w14:paraId="0A73C418">
      <w:pPr>
        <w:spacing w:line="360" w:lineRule="auto"/>
        <w:jc w:val="left"/>
        <w:rPr>
          <w:rStyle w:val="48"/>
          <w:rFonts w:hint="eastAsia" w:ascii="仿宋" w:hAnsi="仿宋" w:eastAsia="仿宋" w:cs="仿宋"/>
          <w:sz w:val="24"/>
          <w:szCs w:val="32"/>
        </w:rPr>
      </w:pPr>
      <w:r>
        <w:rPr>
          <w:rFonts w:hint="eastAsia" w:ascii="仿宋" w:hAnsi="仿宋" w:eastAsia="仿宋" w:cs="仿宋"/>
          <w:b/>
          <w:sz w:val="22"/>
        </w:rPr>
        <w:t>发包人（全称）：</w:t>
      </w:r>
      <w:r>
        <w:rPr>
          <w:rFonts w:hint="eastAsia" w:ascii="仿宋" w:hAnsi="仿宋" w:eastAsia="仿宋" w:cs="仿宋"/>
          <w:sz w:val="22"/>
          <w:u w:val="single"/>
        </w:rPr>
        <w:t>南京审计大学金审学院</w:t>
      </w:r>
    </w:p>
    <w:p w14:paraId="163689DD">
      <w:pPr>
        <w:spacing w:line="360" w:lineRule="auto"/>
        <w:jc w:val="left"/>
        <w:rPr>
          <w:rFonts w:hint="eastAsia" w:ascii="仿宋" w:hAnsi="仿宋" w:eastAsia="仿宋" w:cs="仿宋"/>
          <w:b/>
          <w:sz w:val="22"/>
          <w:u w:val="single"/>
        </w:rPr>
      </w:pPr>
      <w:r>
        <w:rPr>
          <w:rFonts w:hint="eastAsia" w:ascii="仿宋" w:hAnsi="仿宋" w:eastAsia="仿宋" w:cs="仿宋"/>
          <w:b/>
          <w:sz w:val="22"/>
        </w:rPr>
        <w:t>承包人（全称）：</w:t>
      </w:r>
      <w:r>
        <w:rPr>
          <w:rFonts w:hint="eastAsia" w:ascii="仿宋" w:hAnsi="仿宋" w:eastAsia="仿宋" w:cs="仿宋"/>
          <w:sz w:val="22"/>
          <w:u w:val="single"/>
        </w:rPr>
        <w:t xml:space="preserve">                                       </w:t>
      </w:r>
    </w:p>
    <w:p w14:paraId="45539F2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根据《中华人民共和国民法典》、《中华人民共和国建筑法》及有关法律规定，遵循平等、自愿、公平和诚实信用的原则，双方就</w:t>
      </w:r>
      <w:r>
        <w:rPr>
          <w:rFonts w:hint="eastAsia" w:ascii="仿宋" w:hAnsi="仿宋" w:eastAsia="仿宋" w:cs="仿宋"/>
          <w:sz w:val="22"/>
          <w:u w:val="single"/>
        </w:rPr>
        <w:t xml:space="preserve"> 南京审计大学金审学院西门快递驿站工程 </w:t>
      </w:r>
      <w:r>
        <w:rPr>
          <w:rFonts w:hint="eastAsia" w:ascii="仿宋" w:hAnsi="仿宋" w:eastAsia="仿宋" w:cs="仿宋"/>
          <w:sz w:val="22"/>
        </w:rPr>
        <w:t>施工及有关事项协商一致，共同达成如下协议：</w:t>
      </w:r>
    </w:p>
    <w:p w14:paraId="340D7A07">
      <w:pPr>
        <w:pStyle w:val="5"/>
        <w:spacing w:before="120" w:after="120" w:line="360" w:lineRule="auto"/>
        <w:jc w:val="left"/>
        <w:rPr>
          <w:rFonts w:hint="eastAsia" w:ascii="仿宋" w:hAnsi="仿宋" w:eastAsia="仿宋" w:cs="仿宋"/>
          <w:color w:val="auto"/>
          <w:sz w:val="22"/>
          <w:szCs w:val="24"/>
        </w:rPr>
      </w:pPr>
      <w:bookmarkStart w:id="188" w:name="_Toc351203481"/>
      <w:r>
        <w:rPr>
          <w:rFonts w:hint="eastAsia" w:ascii="仿宋" w:hAnsi="仿宋" w:eastAsia="仿宋" w:cs="仿宋"/>
          <w:b/>
          <w:color w:val="auto"/>
          <w:sz w:val="22"/>
          <w:szCs w:val="24"/>
        </w:rPr>
        <w:t>一、工程概况</w:t>
      </w:r>
      <w:bookmarkEnd w:id="188"/>
    </w:p>
    <w:p w14:paraId="040F36BD">
      <w:pPr>
        <w:numPr>
          <w:ilvl w:val="0"/>
          <w:numId w:val="5"/>
        </w:numPr>
        <w:spacing w:line="360" w:lineRule="auto"/>
        <w:ind w:firstLine="431" w:firstLineChars="196"/>
        <w:jc w:val="left"/>
        <w:rPr>
          <w:rStyle w:val="48"/>
          <w:rFonts w:hint="eastAsia" w:ascii="仿宋" w:hAnsi="仿宋" w:eastAsia="仿宋" w:cs="仿宋"/>
          <w:b w:val="0"/>
          <w:sz w:val="22"/>
        </w:rPr>
      </w:pPr>
      <w:r>
        <w:rPr>
          <w:rFonts w:hint="eastAsia" w:ascii="仿宋" w:hAnsi="仿宋" w:eastAsia="仿宋" w:cs="仿宋"/>
          <w:bCs/>
          <w:sz w:val="22"/>
        </w:rPr>
        <w:t>工程名称</w:t>
      </w:r>
      <w:r>
        <w:rPr>
          <w:rFonts w:hint="eastAsia" w:ascii="仿宋" w:hAnsi="仿宋" w:eastAsia="仿宋" w:cs="仿宋"/>
          <w:sz w:val="22"/>
        </w:rPr>
        <w:t>：</w:t>
      </w:r>
      <w:r>
        <w:rPr>
          <w:rFonts w:hint="eastAsia" w:ascii="仿宋" w:hAnsi="仿宋" w:eastAsia="仿宋" w:cs="仿宋"/>
          <w:sz w:val="22"/>
          <w:u w:val="single"/>
        </w:rPr>
        <w:t>南京审计大学金审学院快递站建设工程项目</w:t>
      </w:r>
      <w:r>
        <w:rPr>
          <w:rFonts w:hint="eastAsia" w:ascii="仿宋" w:hAnsi="仿宋" w:eastAsia="仿宋" w:cs="仿宋"/>
          <w:bCs/>
          <w:sz w:val="22"/>
          <w:u w:val="single"/>
        </w:rPr>
        <w:t>；</w:t>
      </w:r>
    </w:p>
    <w:p w14:paraId="56B39C1E">
      <w:pPr>
        <w:numPr>
          <w:ilvl w:val="0"/>
          <w:numId w:val="5"/>
        </w:numPr>
        <w:spacing w:line="360" w:lineRule="auto"/>
        <w:ind w:firstLine="431" w:firstLineChars="196"/>
        <w:jc w:val="left"/>
        <w:rPr>
          <w:rFonts w:hint="eastAsia" w:ascii="仿宋" w:hAnsi="仿宋" w:eastAsia="仿宋" w:cs="仿宋"/>
          <w:bCs/>
          <w:sz w:val="22"/>
        </w:rPr>
      </w:pPr>
      <w:r>
        <w:rPr>
          <w:rFonts w:hint="eastAsia" w:ascii="仿宋" w:hAnsi="仿宋" w:eastAsia="仿宋" w:cs="仿宋"/>
          <w:bCs/>
          <w:sz w:val="22"/>
        </w:rPr>
        <w:t>工程地点：</w:t>
      </w:r>
      <w:r>
        <w:rPr>
          <w:rFonts w:hint="eastAsia" w:ascii="仿宋" w:hAnsi="仿宋" w:eastAsia="仿宋" w:cs="仿宋"/>
          <w:sz w:val="22"/>
          <w:u w:val="single"/>
        </w:rPr>
        <w:t xml:space="preserve">      ；</w:t>
      </w:r>
    </w:p>
    <w:p w14:paraId="4379123A">
      <w:pPr>
        <w:spacing w:line="360" w:lineRule="auto"/>
        <w:ind w:firstLine="431" w:firstLineChars="196"/>
        <w:jc w:val="left"/>
        <w:rPr>
          <w:rFonts w:hint="eastAsia" w:ascii="仿宋" w:hAnsi="仿宋" w:eastAsia="仿宋" w:cs="仿宋"/>
          <w:b/>
          <w:sz w:val="22"/>
          <w:u w:val="single"/>
        </w:rPr>
      </w:pPr>
      <w:r>
        <w:rPr>
          <w:rFonts w:hint="eastAsia" w:ascii="仿宋" w:hAnsi="仿宋" w:eastAsia="仿宋" w:cs="仿宋"/>
          <w:bCs/>
          <w:sz w:val="22"/>
        </w:rPr>
        <w:t>3.工程立项批准文号：</w:t>
      </w:r>
      <w:r>
        <w:rPr>
          <w:rFonts w:hint="eastAsia" w:ascii="仿宋" w:hAnsi="仿宋" w:eastAsia="仿宋" w:cs="仿宋"/>
          <w:bCs/>
          <w:sz w:val="28"/>
          <w:szCs w:val="32"/>
          <w:u w:val="single"/>
          <w:shd w:val="clear" w:color="auto" w:fill="FFFFFF"/>
        </w:rPr>
        <w:t xml:space="preserve">   /   </w:t>
      </w:r>
      <w:r>
        <w:rPr>
          <w:rFonts w:hint="eastAsia" w:ascii="仿宋" w:hAnsi="仿宋" w:eastAsia="仿宋" w:cs="仿宋"/>
          <w:bCs/>
          <w:sz w:val="22"/>
        </w:rPr>
        <w:t xml:space="preserve"> ；</w:t>
      </w:r>
    </w:p>
    <w:p w14:paraId="16BD010E">
      <w:pPr>
        <w:spacing w:line="360" w:lineRule="auto"/>
        <w:ind w:firstLine="431" w:firstLineChars="196"/>
        <w:jc w:val="left"/>
        <w:rPr>
          <w:rFonts w:hint="eastAsia" w:ascii="仿宋" w:hAnsi="仿宋" w:eastAsia="仿宋" w:cs="仿宋"/>
          <w:bCs/>
          <w:sz w:val="22"/>
        </w:rPr>
      </w:pPr>
      <w:r>
        <w:rPr>
          <w:rFonts w:hint="eastAsia" w:ascii="仿宋" w:hAnsi="仿宋" w:eastAsia="仿宋" w:cs="仿宋"/>
          <w:bCs/>
          <w:sz w:val="22"/>
        </w:rPr>
        <w:t>4.资金来源：</w:t>
      </w:r>
      <w:r>
        <w:rPr>
          <w:rFonts w:hint="eastAsia" w:ascii="仿宋" w:hAnsi="仿宋" w:eastAsia="仿宋" w:cs="仿宋"/>
          <w:sz w:val="22"/>
          <w:u w:val="single"/>
        </w:rPr>
        <w:t xml:space="preserve"> 自筹；</w:t>
      </w:r>
    </w:p>
    <w:p w14:paraId="6BDE4296">
      <w:pPr>
        <w:spacing w:line="360" w:lineRule="auto"/>
        <w:ind w:firstLine="431" w:firstLineChars="196"/>
        <w:jc w:val="left"/>
        <w:rPr>
          <w:rFonts w:hint="eastAsia" w:ascii="仿宋" w:hAnsi="仿宋" w:eastAsia="仿宋" w:cs="仿宋"/>
          <w:sz w:val="22"/>
          <w:u w:val="single"/>
        </w:rPr>
      </w:pPr>
      <w:r>
        <w:rPr>
          <w:rFonts w:hint="eastAsia" w:ascii="仿宋" w:hAnsi="仿宋" w:eastAsia="仿宋" w:cs="仿宋"/>
          <w:bCs/>
          <w:sz w:val="22"/>
        </w:rPr>
        <w:t>5.工程内容：</w:t>
      </w:r>
      <w:r>
        <w:rPr>
          <w:rFonts w:hint="eastAsia" w:ascii="仿宋" w:hAnsi="仿宋" w:eastAsia="仿宋" w:cs="仿宋"/>
          <w:sz w:val="22"/>
          <w:u w:val="single"/>
        </w:rPr>
        <w:t>土方、土建、装修、水电等工程；</w:t>
      </w:r>
    </w:p>
    <w:p w14:paraId="48AD5FCA">
      <w:pPr>
        <w:spacing w:line="360" w:lineRule="auto"/>
        <w:ind w:firstLine="431" w:firstLineChars="196"/>
        <w:jc w:val="left"/>
        <w:rPr>
          <w:rStyle w:val="48"/>
          <w:rFonts w:hint="eastAsia" w:ascii="仿宋" w:hAnsi="仿宋" w:eastAsia="仿宋" w:cs="仿宋"/>
          <w:sz w:val="24"/>
          <w:szCs w:val="32"/>
        </w:rPr>
      </w:pPr>
      <w:r>
        <w:rPr>
          <w:rFonts w:hint="eastAsia" w:ascii="仿宋" w:hAnsi="仿宋" w:eastAsia="仿宋" w:cs="仿宋"/>
          <w:bCs/>
          <w:sz w:val="22"/>
        </w:rPr>
        <w:t>6.工程承包范围：</w:t>
      </w:r>
      <w:r>
        <w:rPr>
          <w:rFonts w:hint="eastAsia" w:ascii="仿宋" w:hAnsi="仿宋" w:eastAsia="仿宋" w:cs="仿宋"/>
          <w:bCs/>
          <w:sz w:val="22"/>
          <w:u w:val="single"/>
        </w:rPr>
        <w:t xml:space="preserve"> 详见图纸及工程量清单 ；</w:t>
      </w:r>
    </w:p>
    <w:p w14:paraId="3E40A66B">
      <w:pPr>
        <w:pStyle w:val="5"/>
        <w:spacing w:before="120" w:after="120" w:line="360" w:lineRule="auto"/>
        <w:jc w:val="left"/>
        <w:rPr>
          <w:rFonts w:hint="eastAsia" w:ascii="仿宋" w:hAnsi="仿宋" w:eastAsia="仿宋" w:cs="仿宋"/>
          <w:b/>
          <w:color w:val="auto"/>
          <w:sz w:val="22"/>
          <w:szCs w:val="24"/>
        </w:rPr>
      </w:pPr>
      <w:bookmarkStart w:id="189" w:name="_Toc351203482"/>
      <w:r>
        <w:rPr>
          <w:rFonts w:hint="eastAsia" w:ascii="仿宋" w:hAnsi="仿宋" w:eastAsia="仿宋" w:cs="仿宋"/>
          <w:b/>
          <w:color w:val="auto"/>
          <w:sz w:val="22"/>
          <w:szCs w:val="24"/>
        </w:rPr>
        <w:t>二、合同工期</w:t>
      </w:r>
      <w:bookmarkEnd w:id="189"/>
    </w:p>
    <w:p w14:paraId="513D2F23">
      <w:pPr>
        <w:spacing w:line="360" w:lineRule="auto"/>
        <w:ind w:firstLine="459"/>
        <w:jc w:val="left"/>
        <w:rPr>
          <w:rFonts w:hint="eastAsia" w:ascii="仿宋" w:hAnsi="仿宋" w:eastAsia="仿宋" w:cs="仿宋"/>
          <w:sz w:val="22"/>
        </w:rPr>
      </w:pPr>
      <w:r>
        <w:rPr>
          <w:rFonts w:hint="eastAsia" w:ascii="仿宋" w:hAnsi="仿宋" w:eastAsia="仿宋" w:cs="仿宋"/>
          <w:sz w:val="22"/>
        </w:rPr>
        <w:t>计划开工日期：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14:paraId="33462A82">
      <w:pPr>
        <w:spacing w:line="360" w:lineRule="auto"/>
        <w:ind w:firstLine="459"/>
        <w:jc w:val="left"/>
        <w:rPr>
          <w:rFonts w:hint="eastAsia" w:ascii="仿宋" w:hAnsi="仿宋" w:eastAsia="仿宋" w:cs="仿宋"/>
          <w:sz w:val="22"/>
        </w:rPr>
      </w:pPr>
      <w:r>
        <w:rPr>
          <w:rFonts w:hint="eastAsia" w:ascii="仿宋" w:hAnsi="仿宋" w:eastAsia="仿宋" w:cs="仿宋"/>
          <w:sz w:val="22"/>
        </w:rPr>
        <w:t>计划竣工日期：</w:t>
      </w:r>
      <w:r>
        <w:rPr>
          <w:rFonts w:hint="eastAsia" w:ascii="仿宋" w:hAnsi="仿宋" w:eastAsia="仿宋" w:cs="仿宋"/>
          <w:sz w:val="22"/>
          <w:u w:val="single"/>
        </w:rPr>
        <w:t xml:space="preserve">          </w:t>
      </w:r>
      <w:r>
        <w:rPr>
          <w:rFonts w:hint="eastAsia" w:ascii="仿宋" w:hAnsi="仿宋" w:eastAsia="仿宋" w:cs="仿宋"/>
          <w:sz w:val="22"/>
        </w:rPr>
        <w:t>年</w:t>
      </w:r>
      <w:r>
        <w:rPr>
          <w:rFonts w:hint="eastAsia" w:ascii="仿宋" w:hAnsi="仿宋" w:eastAsia="仿宋" w:cs="仿宋"/>
          <w:sz w:val="22"/>
          <w:u w:val="single"/>
        </w:rPr>
        <w:t xml:space="preserve">      </w:t>
      </w:r>
      <w:r>
        <w:rPr>
          <w:rFonts w:hint="eastAsia" w:ascii="仿宋" w:hAnsi="仿宋" w:eastAsia="仿宋" w:cs="仿宋"/>
          <w:sz w:val="22"/>
        </w:rPr>
        <w:t>月</w:t>
      </w:r>
      <w:r>
        <w:rPr>
          <w:rFonts w:hint="eastAsia" w:ascii="仿宋" w:hAnsi="仿宋" w:eastAsia="仿宋" w:cs="仿宋"/>
          <w:sz w:val="22"/>
          <w:u w:val="single"/>
        </w:rPr>
        <w:t xml:space="preserve">    </w:t>
      </w:r>
      <w:r>
        <w:rPr>
          <w:rFonts w:hint="eastAsia" w:ascii="仿宋" w:hAnsi="仿宋" w:eastAsia="仿宋" w:cs="仿宋"/>
          <w:sz w:val="22"/>
        </w:rPr>
        <w:t>日。</w:t>
      </w:r>
    </w:p>
    <w:p w14:paraId="25D97A12">
      <w:pPr>
        <w:spacing w:line="360" w:lineRule="auto"/>
        <w:ind w:firstLine="459"/>
        <w:jc w:val="left"/>
        <w:rPr>
          <w:rFonts w:hint="eastAsia" w:ascii="仿宋" w:hAnsi="仿宋" w:eastAsia="仿宋" w:cs="仿宋"/>
          <w:sz w:val="22"/>
        </w:rPr>
      </w:pPr>
      <w:r>
        <w:rPr>
          <w:rFonts w:hint="eastAsia" w:ascii="仿宋" w:hAnsi="仿宋" w:eastAsia="仿宋" w:cs="仿宋"/>
          <w:sz w:val="22"/>
        </w:rPr>
        <w:t>工期总日历天数：</w:t>
      </w:r>
      <w:r>
        <w:rPr>
          <w:rFonts w:hint="eastAsia" w:ascii="仿宋" w:hAnsi="仿宋" w:eastAsia="仿宋" w:cs="仿宋"/>
          <w:sz w:val="22"/>
          <w:u w:val="single"/>
        </w:rPr>
        <w:t xml:space="preserve">    </w:t>
      </w:r>
      <w:r>
        <w:rPr>
          <w:rFonts w:hint="eastAsia" w:ascii="仿宋" w:hAnsi="仿宋" w:eastAsia="仿宋" w:cs="仿宋"/>
          <w:sz w:val="22"/>
        </w:rPr>
        <w:t>天。工期总日历天数与根据前述计划开竣工日期计算的工期天数不一致的，以工期总日历天数为准。</w:t>
      </w:r>
    </w:p>
    <w:p w14:paraId="232CCAE6">
      <w:pPr>
        <w:pStyle w:val="5"/>
        <w:spacing w:before="120" w:after="120" w:line="360" w:lineRule="auto"/>
        <w:jc w:val="left"/>
        <w:rPr>
          <w:rFonts w:hint="eastAsia" w:ascii="仿宋" w:hAnsi="仿宋" w:eastAsia="仿宋" w:cs="仿宋"/>
          <w:color w:val="auto"/>
          <w:sz w:val="22"/>
          <w:szCs w:val="24"/>
        </w:rPr>
      </w:pPr>
      <w:bookmarkStart w:id="190" w:name="_Toc351203483"/>
      <w:r>
        <w:rPr>
          <w:rFonts w:hint="eastAsia" w:ascii="仿宋" w:hAnsi="仿宋" w:eastAsia="仿宋" w:cs="仿宋"/>
          <w:b/>
          <w:color w:val="auto"/>
          <w:sz w:val="22"/>
          <w:szCs w:val="24"/>
        </w:rPr>
        <w:t>三、质量标准</w:t>
      </w:r>
      <w:bookmarkEnd w:id="190"/>
    </w:p>
    <w:p w14:paraId="0870A28A">
      <w:pPr>
        <w:spacing w:line="360" w:lineRule="auto"/>
        <w:ind w:firstLine="459"/>
        <w:jc w:val="left"/>
        <w:rPr>
          <w:rFonts w:hint="eastAsia" w:ascii="仿宋" w:hAnsi="仿宋" w:eastAsia="仿宋" w:cs="仿宋"/>
          <w:sz w:val="22"/>
        </w:rPr>
      </w:pPr>
      <w:r>
        <w:rPr>
          <w:rFonts w:hint="eastAsia" w:ascii="仿宋" w:hAnsi="仿宋" w:eastAsia="仿宋" w:cs="仿宋"/>
          <w:sz w:val="22"/>
        </w:rPr>
        <w:t>工程质量符合</w:t>
      </w:r>
      <w:r>
        <w:rPr>
          <w:rFonts w:hint="eastAsia" w:ascii="仿宋" w:hAnsi="仿宋" w:eastAsia="仿宋" w:cs="仿宋"/>
          <w:sz w:val="22"/>
          <w:u w:val="single"/>
        </w:rPr>
        <w:t>国家验收质量</w:t>
      </w:r>
      <w:r>
        <w:rPr>
          <w:rFonts w:hint="eastAsia" w:ascii="仿宋" w:hAnsi="仿宋" w:eastAsia="仿宋" w:cs="仿宋"/>
          <w:sz w:val="22"/>
        </w:rPr>
        <w:t>标准。</w:t>
      </w:r>
    </w:p>
    <w:p w14:paraId="64183876">
      <w:pPr>
        <w:pStyle w:val="5"/>
        <w:spacing w:before="120" w:after="120" w:line="360" w:lineRule="auto"/>
        <w:jc w:val="left"/>
        <w:rPr>
          <w:rFonts w:hint="eastAsia" w:ascii="仿宋" w:hAnsi="仿宋" w:eastAsia="仿宋" w:cs="仿宋"/>
          <w:color w:val="auto"/>
          <w:sz w:val="22"/>
          <w:szCs w:val="24"/>
        </w:rPr>
      </w:pPr>
      <w:bookmarkStart w:id="191" w:name="_Toc351203484"/>
      <w:r>
        <w:rPr>
          <w:rFonts w:hint="eastAsia" w:ascii="仿宋" w:hAnsi="仿宋" w:eastAsia="仿宋" w:cs="仿宋"/>
          <w:b/>
          <w:color w:val="auto"/>
          <w:sz w:val="22"/>
          <w:szCs w:val="24"/>
        </w:rPr>
        <w:t>四、签约合同价与合同价格形式</w:t>
      </w:r>
      <w:bookmarkEnd w:id="191"/>
      <w:r>
        <w:rPr>
          <w:rFonts w:hint="eastAsia" w:ascii="仿宋" w:hAnsi="仿宋" w:eastAsia="仿宋" w:cs="仿宋"/>
          <w:b/>
          <w:color w:val="auto"/>
          <w:sz w:val="22"/>
          <w:szCs w:val="24"/>
        </w:rPr>
        <w:tab/>
      </w:r>
    </w:p>
    <w:p w14:paraId="103AE6C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1.签约合同价为：</w:t>
      </w:r>
    </w:p>
    <w:p w14:paraId="3EB426F3">
      <w:pPr>
        <w:spacing w:line="360" w:lineRule="auto"/>
        <w:ind w:firstLine="550" w:firstLineChars="250"/>
        <w:jc w:val="left"/>
        <w:rPr>
          <w:rFonts w:hint="eastAsia" w:ascii="仿宋" w:hAnsi="仿宋" w:eastAsia="仿宋" w:cs="仿宋"/>
          <w:sz w:val="22"/>
        </w:rPr>
      </w:pPr>
      <w:r>
        <w:rPr>
          <w:rFonts w:hint="eastAsia" w:ascii="仿宋" w:hAnsi="仿宋" w:eastAsia="仿宋" w:cs="仿宋"/>
          <w:sz w:val="22"/>
        </w:rPr>
        <w:t>人民币（大写）</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元)（含税）；</w:t>
      </w:r>
    </w:p>
    <w:p w14:paraId="20471D22">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其中：</w:t>
      </w:r>
    </w:p>
    <w:p w14:paraId="6335678F">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（1）安全文明施工费：</w:t>
      </w:r>
    </w:p>
    <w:p w14:paraId="12D2BA5C">
      <w:pPr>
        <w:spacing w:line="360" w:lineRule="auto"/>
        <w:ind w:firstLine="990" w:firstLineChars="450"/>
        <w:jc w:val="left"/>
        <w:rPr>
          <w:rFonts w:hint="eastAsia" w:ascii="仿宋" w:hAnsi="仿宋" w:eastAsia="仿宋" w:cs="仿宋"/>
          <w:sz w:val="22"/>
        </w:rPr>
      </w:pPr>
      <w:r>
        <w:rPr>
          <w:rFonts w:hint="eastAsia" w:ascii="仿宋" w:hAnsi="仿宋" w:eastAsia="仿宋" w:cs="仿宋"/>
          <w:sz w:val="22"/>
        </w:rPr>
        <w:t>人民币（大写）</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元)；</w:t>
      </w:r>
    </w:p>
    <w:p w14:paraId="394413FE">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（2）材料和工程设备暂估价金额：</w:t>
      </w:r>
    </w:p>
    <w:p w14:paraId="03BFD670">
      <w:pPr>
        <w:spacing w:line="360" w:lineRule="auto"/>
        <w:ind w:firstLine="990" w:firstLineChars="450"/>
        <w:jc w:val="left"/>
        <w:rPr>
          <w:rFonts w:hint="eastAsia" w:ascii="仿宋" w:hAnsi="仿宋" w:eastAsia="仿宋" w:cs="仿宋"/>
          <w:sz w:val="22"/>
        </w:rPr>
      </w:pPr>
      <w:r>
        <w:rPr>
          <w:rFonts w:hint="eastAsia" w:ascii="仿宋" w:hAnsi="仿宋" w:eastAsia="仿宋" w:cs="仿宋"/>
          <w:sz w:val="22"/>
        </w:rPr>
        <w:t>人民币（大写）</w:t>
      </w:r>
      <w:r>
        <w:rPr>
          <w:rFonts w:hint="eastAsia" w:ascii="仿宋" w:hAnsi="仿宋" w:eastAsia="仿宋" w:cs="仿宋"/>
          <w:sz w:val="22"/>
          <w:u w:val="single"/>
        </w:rPr>
        <w:t xml:space="preserve">                </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元)；</w:t>
      </w:r>
    </w:p>
    <w:p w14:paraId="71922E06">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（3）专业工程暂估价金额：</w:t>
      </w:r>
    </w:p>
    <w:p w14:paraId="0FFC83E2">
      <w:pPr>
        <w:spacing w:line="360" w:lineRule="auto"/>
        <w:ind w:firstLine="990" w:firstLineChars="450"/>
        <w:jc w:val="left"/>
        <w:rPr>
          <w:rFonts w:hint="eastAsia" w:ascii="仿宋" w:hAnsi="仿宋" w:eastAsia="仿宋" w:cs="仿宋"/>
          <w:sz w:val="22"/>
        </w:rPr>
      </w:pPr>
      <w:r>
        <w:rPr>
          <w:rFonts w:hint="eastAsia" w:ascii="仿宋" w:hAnsi="仿宋" w:eastAsia="仿宋" w:cs="仿宋"/>
          <w:sz w:val="22"/>
        </w:rPr>
        <w:t>人民币（大写）</w:t>
      </w:r>
      <w:r>
        <w:rPr>
          <w:rFonts w:hint="eastAsia" w:ascii="仿宋" w:hAnsi="仿宋" w:eastAsia="仿宋" w:cs="仿宋"/>
          <w:sz w:val="22"/>
          <w:u w:val="single"/>
        </w:rPr>
        <w:t xml:space="preserve">               </w:t>
      </w:r>
      <w:r>
        <w:rPr>
          <w:rFonts w:hint="eastAsia" w:ascii="仿宋" w:hAnsi="仿宋" w:eastAsia="仿宋" w:cs="仿宋"/>
          <w:sz w:val="22"/>
        </w:rPr>
        <w:t>(¥</w:t>
      </w:r>
      <w:r>
        <w:rPr>
          <w:rFonts w:hint="eastAsia" w:ascii="仿宋" w:hAnsi="仿宋" w:eastAsia="仿宋" w:cs="仿宋"/>
          <w:sz w:val="22"/>
          <w:u w:val="single"/>
        </w:rPr>
        <w:t xml:space="preserve">             </w:t>
      </w:r>
      <w:r>
        <w:rPr>
          <w:rFonts w:hint="eastAsia" w:ascii="仿宋" w:hAnsi="仿宋" w:eastAsia="仿宋" w:cs="仿宋"/>
          <w:sz w:val="22"/>
        </w:rPr>
        <w:t>元)；</w:t>
      </w:r>
    </w:p>
    <w:p w14:paraId="655C3790">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（4）暂列金额：</w:t>
      </w:r>
    </w:p>
    <w:p w14:paraId="1DCC6D93">
      <w:pPr>
        <w:spacing w:line="360" w:lineRule="auto"/>
        <w:ind w:firstLine="990" w:firstLineChars="450"/>
        <w:jc w:val="left"/>
        <w:rPr>
          <w:rFonts w:hint="eastAsia" w:ascii="仿宋" w:hAnsi="仿宋" w:eastAsia="仿宋" w:cs="仿宋"/>
          <w:sz w:val="22"/>
          <w:u w:val="single"/>
        </w:rPr>
      </w:pPr>
      <w:r>
        <w:rPr>
          <w:rFonts w:hint="eastAsia" w:ascii="仿宋" w:hAnsi="仿宋" w:eastAsia="仿宋" w:cs="仿宋"/>
          <w:sz w:val="22"/>
        </w:rPr>
        <w:t>人民币（大写）</w:t>
      </w:r>
      <w:r>
        <w:rPr>
          <w:rFonts w:hint="eastAsia" w:ascii="仿宋" w:hAnsi="仿宋" w:eastAsia="仿宋" w:cs="仿宋"/>
          <w:sz w:val="22"/>
          <w:u w:val="single"/>
        </w:rPr>
        <w:t xml:space="preserve">            元</w:t>
      </w:r>
      <w:r>
        <w:rPr>
          <w:rFonts w:hint="eastAsia" w:ascii="仿宋" w:hAnsi="仿宋" w:eastAsia="仿宋" w:cs="仿宋"/>
          <w:sz w:val="22"/>
        </w:rPr>
        <w:t xml:space="preserve"> (¥</w:t>
      </w:r>
      <w:r>
        <w:rPr>
          <w:rFonts w:hint="eastAsia" w:ascii="仿宋" w:hAnsi="仿宋" w:eastAsia="仿宋" w:cs="仿宋"/>
          <w:sz w:val="22"/>
          <w:u w:val="single"/>
        </w:rPr>
        <w:t xml:space="preserve">            </w:t>
      </w:r>
      <w:r>
        <w:rPr>
          <w:rFonts w:hint="eastAsia" w:ascii="仿宋" w:hAnsi="仿宋" w:eastAsia="仿宋" w:cs="仿宋"/>
          <w:sz w:val="22"/>
        </w:rPr>
        <w:t>元)。</w:t>
      </w:r>
    </w:p>
    <w:p w14:paraId="46946736">
      <w:pPr>
        <w:spacing w:line="360" w:lineRule="auto"/>
        <w:ind w:left="412" w:leftChars="196"/>
        <w:jc w:val="left"/>
        <w:rPr>
          <w:rFonts w:hint="eastAsia" w:ascii="仿宋" w:hAnsi="仿宋" w:eastAsia="仿宋" w:cs="仿宋"/>
          <w:sz w:val="22"/>
        </w:rPr>
      </w:pPr>
      <w:r>
        <w:rPr>
          <w:rFonts w:hint="eastAsia" w:ascii="仿宋" w:hAnsi="仿宋" w:eastAsia="仿宋" w:cs="仿宋"/>
          <w:sz w:val="22"/>
        </w:rPr>
        <w:t>2.合同价格形式：</w:t>
      </w:r>
      <w:r>
        <w:rPr>
          <w:rFonts w:hint="eastAsia" w:ascii="仿宋" w:hAnsi="仿宋" w:eastAsia="仿宋" w:cs="仿宋"/>
          <w:sz w:val="22"/>
          <w:u w:val="single"/>
        </w:rPr>
        <w:t xml:space="preserve"> 固定单价 </w:t>
      </w:r>
      <w:r>
        <w:rPr>
          <w:rFonts w:hint="eastAsia" w:ascii="仿宋" w:hAnsi="仿宋" w:eastAsia="仿宋" w:cs="仿宋"/>
          <w:sz w:val="22"/>
        </w:rPr>
        <w:t>。</w:t>
      </w:r>
    </w:p>
    <w:p w14:paraId="46484F0B">
      <w:pPr>
        <w:spacing w:line="360" w:lineRule="auto"/>
        <w:jc w:val="left"/>
        <w:rPr>
          <w:rFonts w:hint="eastAsia" w:ascii="仿宋" w:hAnsi="仿宋" w:eastAsia="仿宋" w:cs="仿宋"/>
          <w:b/>
          <w:bCs/>
          <w:sz w:val="22"/>
        </w:rPr>
      </w:pPr>
      <w:bookmarkStart w:id="192" w:name="_Toc351203485"/>
      <w:r>
        <w:rPr>
          <w:rFonts w:hint="eastAsia" w:ascii="仿宋" w:hAnsi="仿宋" w:eastAsia="仿宋" w:cs="仿宋"/>
          <w:b/>
          <w:bCs/>
          <w:sz w:val="22"/>
        </w:rPr>
        <w:t>五、</w:t>
      </w:r>
      <w:bookmarkEnd w:id="192"/>
      <w:r>
        <w:rPr>
          <w:rFonts w:hint="eastAsia" w:ascii="仿宋" w:hAnsi="仿宋" w:eastAsia="仿宋" w:cs="仿宋"/>
          <w:b/>
          <w:bCs/>
          <w:sz w:val="22"/>
        </w:rPr>
        <w:t>项目经理</w:t>
      </w:r>
    </w:p>
    <w:p w14:paraId="5F0D3D53">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承包人项目经理：</w:t>
      </w:r>
      <w:r>
        <w:rPr>
          <w:rFonts w:hint="eastAsia" w:ascii="仿宋" w:hAnsi="仿宋" w:eastAsia="仿宋" w:cs="仿宋"/>
          <w:sz w:val="22"/>
          <w:u w:val="single"/>
        </w:rPr>
        <w:t xml:space="preserve">          </w:t>
      </w:r>
      <w:r>
        <w:rPr>
          <w:rFonts w:hint="eastAsia" w:ascii="仿宋" w:hAnsi="仿宋" w:eastAsia="仿宋" w:cs="仿宋"/>
          <w:sz w:val="22"/>
        </w:rPr>
        <w:t>； 注册编号：</w:t>
      </w:r>
      <w:r>
        <w:rPr>
          <w:rFonts w:hint="eastAsia" w:ascii="仿宋" w:hAnsi="仿宋" w:eastAsia="仿宋" w:cs="仿宋"/>
          <w:sz w:val="22"/>
          <w:u w:val="single"/>
        </w:rPr>
        <w:t xml:space="preserve">           </w:t>
      </w:r>
      <w:r>
        <w:rPr>
          <w:rFonts w:hint="eastAsia" w:ascii="仿宋" w:hAnsi="仿宋" w:eastAsia="仿宋" w:cs="仿宋"/>
          <w:sz w:val="22"/>
        </w:rPr>
        <w:t>； 身份证号：</w:t>
      </w:r>
      <w:r>
        <w:rPr>
          <w:rFonts w:hint="eastAsia" w:ascii="仿宋" w:hAnsi="仿宋" w:eastAsia="仿宋" w:cs="仿宋"/>
          <w:sz w:val="22"/>
          <w:u w:val="single"/>
        </w:rPr>
        <w:t xml:space="preserve">             </w:t>
      </w:r>
      <w:r>
        <w:rPr>
          <w:rFonts w:hint="eastAsia" w:ascii="仿宋" w:hAnsi="仿宋" w:eastAsia="仿宋" w:cs="仿宋"/>
          <w:sz w:val="22"/>
        </w:rPr>
        <w:t>。</w:t>
      </w:r>
    </w:p>
    <w:p w14:paraId="19F67B50">
      <w:pPr>
        <w:pStyle w:val="5"/>
        <w:spacing w:before="120" w:after="120" w:line="360" w:lineRule="auto"/>
        <w:jc w:val="left"/>
        <w:rPr>
          <w:rFonts w:hint="eastAsia" w:ascii="仿宋" w:hAnsi="仿宋" w:eastAsia="仿宋" w:cs="仿宋"/>
          <w:color w:val="auto"/>
          <w:sz w:val="22"/>
          <w:szCs w:val="24"/>
        </w:rPr>
      </w:pPr>
      <w:bookmarkStart w:id="193" w:name="_Toc351203486"/>
      <w:r>
        <w:rPr>
          <w:rFonts w:hint="eastAsia" w:ascii="仿宋" w:hAnsi="仿宋" w:eastAsia="仿宋" w:cs="仿宋"/>
          <w:b/>
          <w:color w:val="auto"/>
          <w:sz w:val="22"/>
          <w:szCs w:val="24"/>
        </w:rPr>
        <w:t>六、合同文件构成</w:t>
      </w:r>
      <w:bookmarkEnd w:id="193"/>
    </w:p>
    <w:p w14:paraId="1FE55D98">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本协议书与下列文件一起构成合同文件：</w:t>
      </w:r>
    </w:p>
    <w:p w14:paraId="3D44462B">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（1）中标通知书（如果有）；</w:t>
      </w:r>
    </w:p>
    <w:p w14:paraId="7F44B111">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 xml:space="preserve">（2）投标函及其附录（如果有）； </w:t>
      </w:r>
    </w:p>
    <w:p w14:paraId="0949C407">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（3）专用合同条款及其附件；</w:t>
      </w:r>
    </w:p>
    <w:p w14:paraId="6DF1F4EA">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（4）通用合同条款；</w:t>
      </w:r>
    </w:p>
    <w:p w14:paraId="764DB3EF">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（5）技术标准和要求；</w:t>
      </w:r>
    </w:p>
    <w:p w14:paraId="1DFCCCA4">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（6）图纸；</w:t>
      </w:r>
    </w:p>
    <w:p w14:paraId="064369F3">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（7）已标价工程量清单或预算书；</w:t>
      </w:r>
    </w:p>
    <w:p w14:paraId="634455DC">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（8）其他合同文件。</w:t>
      </w:r>
    </w:p>
    <w:p w14:paraId="4F9EB6CE">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在合同订立及履行过程中形成的与合同有关的文件均构成合同文件组成部分。如发生冲突以以上顺序为主要解释顺序。</w:t>
      </w:r>
    </w:p>
    <w:p w14:paraId="16D7ED88">
      <w:pPr>
        <w:autoSpaceDE w:val="0"/>
        <w:autoSpaceDN w:val="0"/>
        <w:adjustRightIn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上述各项合同文件包括合同当事人就该项合同文件所作出的补充和修改，属于同一类内容的文件，应以最新签署的为准。专用合同条款及其附件须经合同当事人签字或盖章。</w:t>
      </w:r>
      <w:bookmarkStart w:id="194" w:name="_Toc351203487"/>
    </w:p>
    <w:p w14:paraId="74C03512">
      <w:pPr>
        <w:autoSpaceDE w:val="0"/>
        <w:autoSpaceDN w:val="0"/>
        <w:adjustRightInd w:val="0"/>
        <w:spacing w:line="360" w:lineRule="auto"/>
        <w:ind w:firstLine="442" w:firstLineChars="200"/>
        <w:jc w:val="left"/>
        <w:rPr>
          <w:rFonts w:hint="eastAsia" w:ascii="仿宋" w:hAnsi="仿宋" w:eastAsia="仿宋" w:cs="仿宋"/>
          <w:b/>
          <w:bCs/>
          <w:sz w:val="22"/>
        </w:rPr>
      </w:pPr>
      <w:r>
        <w:rPr>
          <w:rFonts w:hint="eastAsia" w:ascii="仿宋" w:hAnsi="仿宋" w:eastAsia="仿宋" w:cs="仿宋"/>
          <w:b/>
          <w:bCs/>
          <w:sz w:val="22"/>
        </w:rPr>
        <w:t>七、承诺</w:t>
      </w:r>
      <w:bookmarkEnd w:id="194"/>
    </w:p>
    <w:p w14:paraId="0CC0FC5D">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1.发包人承诺按照法律规定履行项目审批手续、筹集工程建设资金并按照合同约定的期限和方式支付合同价款。</w:t>
      </w:r>
    </w:p>
    <w:p w14:paraId="629E22F9">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2.承包人承诺按照法律规定及合同约定组织完成工程施工，确保工程质量和安全，不进行转包及违法分包，并在缺陷责任期及保修期内承担相应的工程维修责任。</w:t>
      </w:r>
    </w:p>
    <w:p w14:paraId="67B08438">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3.发包人和承包人通过招投标形式签订合同的，双方理解并承诺不再就同一工程另行签订与合同实质性内容相背离的协议。</w:t>
      </w:r>
    </w:p>
    <w:p w14:paraId="79CD4968">
      <w:pPr>
        <w:spacing w:line="360" w:lineRule="auto"/>
        <w:jc w:val="left"/>
        <w:rPr>
          <w:rFonts w:hint="eastAsia" w:ascii="仿宋" w:hAnsi="仿宋" w:eastAsia="仿宋" w:cs="仿宋"/>
          <w:bCs/>
          <w:sz w:val="22"/>
        </w:rPr>
      </w:pPr>
      <w:bookmarkStart w:id="195" w:name="_Toc351203488"/>
      <w:r>
        <w:rPr>
          <w:rFonts w:hint="eastAsia" w:ascii="仿宋" w:hAnsi="仿宋" w:eastAsia="仿宋" w:cs="仿宋"/>
          <w:b/>
          <w:sz w:val="22"/>
        </w:rPr>
        <w:t xml:space="preserve">    八、词语含义</w:t>
      </w:r>
      <w:bookmarkEnd w:id="195"/>
    </w:p>
    <w:p w14:paraId="53861EA7">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本协议书中词语含义与第二部分通用合同条款中赋予的含义相同。</w:t>
      </w:r>
    </w:p>
    <w:p w14:paraId="5B52E0E1">
      <w:pPr>
        <w:pStyle w:val="5"/>
        <w:spacing w:before="120" w:after="120" w:line="360" w:lineRule="auto"/>
        <w:ind w:left="210"/>
        <w:jc w:val="left"/>
        <w:rPr>
          <w:rFonts w:hint="eastAsia" w:ascii="仿宋" w:hAnsi="仿宋" w:eastAsia="仿宋" w:cs="仿宋"/>
          <w:color w:val="auto"/>
          <w:sz w:val="22"/>
          <w:szCs w:val="24"/>
        </w:rPr>
      </w:pPr>
      <w:bookmarkStart w:id="196" w:name="_Toc351203489"/>
      <w:r>
        <w:rPr>
          <w:rFonts w:hint="eastAsia" w:ascii="仿宋" w:hAnsi="仿宋" w:eastAsia="仿宋" w:cs="仿宋"/>
          <w:b/>
          <w:color w:val="auto"/>
          <w:sz w:val="22"/>
          <w:szCs w:val="24"/>
        </w:rPr>
        <w:t>九、签订时间</w:t>
      </w:r>
      <w:bookmarkEnd w:id="196"/>
    </w:p>
    <w:p w14:paraId="158A0D61">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本合同于</w:t>
      </w:r>
      <w:r>
        <w:rPr>
          <w:rFonts w:hint="eastAsia" w:ascii="仿宋" w:hAnsi="仿宋" w:eastAsia="仿宋" w:cs="仿宋"/>
          <w:bCs/>
          <w:sz w:val="22"/>
          <w:u w:val="single"/>
        </w:rPr>
        <w:t xml:space="preserve"> 2025</w:t>
      </w:r>
      <w:r>
        <w:rPr>
          <w:rFonts w:hint="eastAsia" w:ascii="仿宋" w:hAnsi="仿宋" w:eastAsia="仿宋" w:cs="仿宋"/>
          <w:bCs/>
          <w:sz w:val="22"/>
        </w:rPr>
        <w:t>年</w:t>
      </w:r>
      <w:r>
        <w:rPr>
          <w:rFonts w:hint="eastAsia" w:ascii="仿宋" w:hAnsi="仿宋" w:eastAsia="仿宋" w:cs="仿宋"/>
          <w:bCs/>
          <w:sz w:val="22"/>
          <w:u w:val="single"/>
        </w:rPr>
        <w:t xml:space="preserve">    </w:t>
      </w:r>
      <w:r>
        <w:rPr>
          <w:rFonts w:hint="eastAsia" w:ascii="仿宋" w:hAnsi="仿宋" w:eastAsia="仿宋" w:cs="仿宋"/>
          <w:bCs/>
          <w:sz w:val="22"/>
        </w:rPr>
        <w:t>月</w:t>
      </w:r>
      <w:r>
        <w:rPr>
          <w:rFonts w:hint="eastAsia" w:ascii="仿宋" w:hAnsi="仿宋" w:eastAsia="仿宋" w:cs="仿宋"/>
          <w:bCs/>
          <w:sz w:val="22"/>
          <w:u w:val="single"/>
        </w:rPr>
        <w:t xml:space="preserve">    </w:t>
      </w:r>
      <w:r>
        <w:rPr>
          <w:rFonts w:hint="eastAsia" w:ascii="仿宋" w:hAnsi="仿宋" w:eastAsia="仿宋" w:cs="仿宋"/>
          <w:bCs/>
          <w:sz w:val="22"/>
        </w:rPr>
        <w:t>日签订。</w:t>
      </w:r>
    </w:p>
    <w:p w14:paraId="6C2FFC75">
      <w:pPr>
        <w:pStyle w:val="5"/>
        <w:spacing w:before="120" w:after="120" w:line="360" w:lineRule="auto"/>
        <w:ind w:left="210"/>
        <w:jc w:val="left"/>
        <w:rPr>
          <w:rFonts w:hint="eastAsia" w:ascii="仿宋" w:hAnsi="仿宋" w:eastAsia="仿宋" w:cs="仿宋"/>
          <w:color w:val="auto"/>
          <w:sz w:val="22"/>
          <w:szCs w:val="24"/>
        </w:rPr>
      </w:pPr>
      <w:bookmarkStart w:id="197" w:name="_Toc351203490"/>
      <w:r>
        <w:rPr>
          <w:rFonts w:hint="eastAsia" w:ascii="仿宋" w:hAnsi="仿宋" w:eastAsia="仿宋" w:cs="仿宋"/>
          <w:b/>
          <w:color w:val="auto"/>
          <w:sz w:val="22"/>
          <w:szCs w:val="24"/>
        </w:rPr>
        <w:t>十、签订地点</w:t>
      </w:r>
      <w:bookmarkEnd w:id="197"/>
    </w:p>
    <w:p w14:paraId="07F4F384">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本合同在</w:t>
      </w:r>
      <w:r>
        <w:rPr>
          <w:rFonts w:hint="eastAsia" w:ascii="仿宋" w:hAnsi="仿宋" w:eastAsia="仿宋" w:cs="仿宋"/>
          <w:bCs/>
          <w:sz w:val="22"/>
          <w:u w:val="single"/>
        </w:rPr>
        <w:t xml:space="preserve">   发包人处     </w:t>
      </w:r>
      <w:r>
        <w:rPr>
          <w:rFonts w:hint="eastAsia" w:ascii="仿宋" w:hAnsi="仿宋" w:eastAsia="仿宋" w:cs="仿宋"/>
          <w:bCs/>
          <w:sz w:val="22"/>
        </w:rPr>
        <w:t>签订。</w:t>
      </w:r>
      <w:bookmarkStart w:id="198" w:name="_Toc351203491"/>
    </w:p>
    <w:p w14:paraId="5B2ECEB7">
      <w:pPr>
        <w:spacing w:line="360" w:lineRule="auto"/>
        <w:jc w:val="left"/>
        <w:rPr>
          <w:rFonts w:hint="eastAsia" w:ascii="仿宋" w:hAnsi="仿宋" w:eastAsia="仿宋" w:cs="仿宋"/>
          <w:bCs/>
          <w:sz w:val="22"/>
        </w:rPr>
      </w:pPr>
      <w:r>
        <w:rPr>
          <w:rFonts w:hint="eastAsia" w:ascii="仿宋" w:hAnsi="仿宋" w:eastAsia="仿宋" w:cs="仿宋"/>
          <w:sz w:val="22"/>
        </w:rPr>
        <w:t>十一、补充协议</w:t>
      </w:r>
      <w:bookmarkEnd w:id="198"/>
    </w:p>
    <w:p w14:paraId="2DBD326D">
      <w:pPr>
        <w:spacing w:line="360" w:lineRule="auto"/>
        <w:ind w:firstLine="440" w:firstLineChars="200"/>
        <w:jc w:val="left"/>
        <w:rPr>
          <w:rFonts w:hint="eastAsia" w:ascii="仿宋" w:hAnsi="仿宋" w:eastAsia="仿宋" w:cs="仿宋"/>
          <w:b/>
          <w:bCs/>
          <w:sz w:val="22"/>
        </w:rPr>
      </w:pPr>
      <w:r>
        <w:rPr>
          <w:rFonts w:hint="eastAsia" w:ascii="仿宋" w:hAnsi="仿宋" w:eastAsia="仿宋" w:cs="仿宋"/>
          <w:bCs/>
          <w:sz w:val="22"/>
        </w:rPr>
        <w:t>合同未尽事宜，合同当事人另行签订补充协议，补充协议是合同的组成部分。</w:t>
      </w:r>
    </w:p>
    <w:p w14:paraId="4E44414F">
      <w:pPr>
        <w:pStyle w:val="5"/>
        <w:spacing w:before="120" w:after="120" w:line="360" w:lineRule="auto"/>
        <w:jc w:val="left"/>
        <w:rPr>
          <w:rFonts w:hint="eastAsia" w:ascii="仿宋" w:hAnsi="仿宋" w:eastAsia="仿宋" w:cs="仿宋"/>
          <w:color w:val="auto"/>
          <w:sz w:val="22"/>
          <w:szCs w:val="24"/>
        </w:rPr>
      </w:pPr>
      <w:bookmarkStart w:id="199" w:name="_Toc351203492"/>
      <w:r>
        <w:rPr>
          <w:rFonts w:hint="eastAsia" w:ascii="仿宋" w:hAnsi="仿宋" w:eastAsia="仿宋" w:cs="仿宋"/>
          <w:b/>
          <w:color w:val="auto"/>
          <w:sz w:val="22"/>
          <w:szCs w:val="24"/>
        </w:rPr>
        <w:t>十二、合同生效</w:t>
      </w:r>
      <w:bookmarkEnd w:id="199"/>
    </w:p>
    <w:p w14:paraId="2B8A5901">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本合同自</w:t>
      </w:r>
      <w:r>
        <w:rPr>
          <w:rFonts w:hint="eastAsia" w:ascii="仿宋" w:hAnsi="仿宋" w:eastAsia="仿宋" w:cs="仿宋"/>
          <w:bCs/>
          <w:sz w:val="22"/>
          <w:u w:val="single"/>
        </w:rPr>
        <w:t xml:space="preserve">   双方盖章签字后  </w:t>
      </w:r>
      <w:r>
        <w:rPr>
          <w:rFonts w:hint="eastAsia" w:ascii="仿宋" w:hAnsi="仿宋" w:eastAsia="仿宋" w:cs="仿宋"/>
          <w:bCs/>
          <w:sz w:val="22"/>
        </w:rPr>
        <w:t>生效。</w:t>
      </w:r>
    </w:p>
    <w:p w14:paraId="75854504">
      <w:pPr>
        <w:pStyle w:val="5"/>
        <w:spacing w:before="120" w:after="120" w:line="360" w:lineRule="auto"/>
        <w:jc w:val="left"/>
        <w:rPr>
          <w:rFonts w:hint="eastAsia" w:ascii="仿宋" w:hAnsi="仿宋" w:eastAsia="仿宋" w:cs="仿宋"/>
          <w:color w:val="auto"/>
          <w:sz w:val="22"/>
          <w:szCs w:val="24"/>
        </w:rPr>
      </w:pPr>
      <w:bookmarkStart w:id="200" w:name="_Toc351203493"/>
      <w:r>
        <w:rPr>
          <w:rFonts w:hint="eastAsia" w:ascii="仿宋" w:hAnsi="仿宋" w:eastAsia="仿宋" w:cs="仿宋"/>
          <w:b/>
          <w:color w:val="auto"/>
          <w:sz w:val="22"/>
          <w:szCs w:val="24"/>
        </w:rPr>
        <w:t>十三、合同份数</w:t>
      </w:r>
      <w:bookmarkEnd w:id="200"/>
    </w:p>
    <w:p w14:paraId="14B59980">
      <w:pPr>
        <w:spacing w:line="360" w:lineRule="auto"/>
        <w:ind w:firstLine="440" w:firstLineChars="200"/>
        <w:jc w:val="left"/>
        <w:rPr>
          <w:rFonts w:hint="eastAsia" w:ascii="仿宋" w:hAnsi="仿宋" w:eastAsia="仿宋" w:cs="仿宋"/>
          <w:bCs/>
          <w:sz w:val="22"/>
        </w:rPr>
      </w:pPr>
      <w:r>
        <w:rPr>
          <w:rFonts w:hint="eastAsia" w:ascii="仿宋" w:hAnsi="仿宋" w:eastAsia="仿宋" w:cs="仿宋"/>
          <w:bCs/>
          <w:sz w:val="22"/>
        </w:rPr>
        <w:t>本合同一式</w:t>
      </w:r>
      <w:r>
        <w:rPr>
          <w:rFonts w:hint="eastAsia" w:ascii="仿宋" w:hAnsi="仿宋" w:eastAsia="仿宋" w:cs="仿宋"/>
          <w:bCs/>
          <w:sz w:val="22"/>
          <w:u w:val="single"/>
        </w:rPr>
        <w:t xml:space="preserve">   </w:t>
      </w:r>
      <w:r>
        <w:rPr>
          <w:rFonts w:hint="eastAsia" w:ascii="仿宋" w:hAnsi="仿宋" w:eastAsia="仿宋" w:cs="仿宋"/>
          <w:bCs/>
          <w:sz w:val="22"/>
        </w:rPr>
        <w:t>份，均具有同等法律效力，发包人执</w:t>
      </w:r>
      <w:r>
        <w:rPr>
          <w:rFonts w:hint="eastAsia" w:ascii="仿宋" w:hAnsi="仿宋" w:eastAsia="仿宋" w:cs="仿宋"/>
          <w:bCs/>
          <w:sz w:val="22"/>
          <w:u w:val="single"/>
        </w:rPr>
        <w:t xml:space="preserve">   </w:t>
      </w:r>
      <w:r>
        <w:rPr>
          <w:rFonts w:hint="eastAsia" w:ascii="仿宋" w:hAnsi="仿宋" w:eastAsia="仿宋" w:cs="仿宋"/>
          <w:bCs/>
          <w:sz w:val="22"/>
        </w:rPr>
        <w:t>份，承包人执</w:t>
      </w:r>
      <w:r>
        <w:rPr>
          <w:rFonts w:hint="eastAsia" w:ascii="仿宋" w:hAnsi="仿宋" w:eastAsia="仿宋" w:cs="仿宋"/>
          <w:bCs/>
          <w:sz w:val="22"/>
          <w:u w:val="single"/>
        </w:rPr>
        <w:t xml:space="preserve">   </w:t>
      </w:r>
      <w:r>
        <w:rPr>
          <w:rFonts w:hint="eastAsia" w:ascii="仿宋" w:hAnsi="仿宋" w:eastAsia="仿宋" w:cs="仿宋"/>
          <w:bCs/>
          <w:sz w:val="22"/>
        </w:rPr>
        <w:t>份。</w:t>
      </w:r>
    </w:p>
    <w:p w14:paraId="15CE7E79">
      <w:pPr>
        <w:pStyle w:val="17"/>
        <w:rPr>
          <w:rFonts w:hint="eastAsia" w:ascii="仿宋" w:hAnsi="仿宋" w:eastAsia="仿宋" w:cs="仿宋"/>
          <w:sz w:val="24"/>
          <w:szCs w:val="32"/>
        </w:rPr>
      </w:pPr>
    </w:p>
    <w:p w14:paraId="2DD69990">
      <w:pPr>
        <w:spacing w:line="360" w:lineRule="auto"/>
        <w:jc w:val="left"/>
        <w:rPr>
          <w:rFonts w:hint="eastAsia" w:ascii="仿宋" w:hAnsi="仿宋" w:eastAsia="仿宋" w:cs="仿宋"/>
          <w:sz w:val="22"/>
        </w:rPr>
      </w:pPr>
      <w:r>
        <w:rPr>
          <w:rFonts w:hint="eastAsia" w:ascii="仿宋" w:hAnsi="仿宋" w:eastAsia="仿宋" w:cs="仿宋"/>
          <w:sz w:val="22"/>
        </w:rPr>
        <w:t>发包人：  (公章)                            承包人：  (公章)</w:t>
      </w:r>
    </w:p>
    <w:p w14:paraId="1CCDE63B">
      <w:pPr>
        <w:spacing w:line="360" w:lineRule="auto"/>
        <w:jc w:val="left"/>
        <w:rPr>
          <w:rFonts w:hint="eastAsia" w:ascii="仿宋" w:hAnsi="仿宋" w:eastAsia="仿宋" w:cs="仿宋"/>
          <w:sz w:val="22"/>
        </w:rPr>
      </w:pPr>
      <w:r>
        <w:rPr>
          <w:rFonts w:hint="eastAsia" w:ascii="仿宋" w:hAnsi="仿宋" w:eastAsia="仿宋" w:cs="仿宋"/>
          <w:sz w:val="22"/>
        </w:rPr>
        <w:t>法定代表人或其委托代理人：                  法定代表人或其委托代理人：</w:t>
      </w:r>
    </w:p>
    <w:p w14:paraId="220632C3">
      <w:pPr>
        <w:spacing w:line="360" w:lineRule="auto"/>
        <w:jc w:val="left"/>
        <w:rPr>
          <w:rFonts w:hint="eastAsia" w:ascii="仿宋" w:hAnsi="仿宋" w:eastAsia="仿宋" w:cs="仿宋"/>
          <w:sz w:val="22"/>
        </w:rPr>
      </w:pPr>
      <w:r>
        <w:rPr>
          <w:rFonts w:hint="eastAsia" w:ascii="仿宋" w:hAnsi="仿宋" w:eastAsia="仿宋" w:cs="仿宋"/>
          <w:sz w:val="22"/>
        </w:rPr>
        <w:t>（签字）                                    （签字）</w:t>
      </w:r>
    </w:p>
    <w:p w14:paraId="62D627B2">
      <w:pPr>
        <w:tabs>
          <w:tab w:val="left" w:pos="4410"/>
        </w:tabs>
        <w:spacing w:line="360" w:lineRule="auto"/>
        <w:jc w:val="left"/>
        <w:rPr>
          <w:rFonts w:hint="eastAsia" w:ascii="仿宋" w:hAnsi="仿宋" w:eastAsia="仿宋" w:cs="仿宋"/>
          <w:sz w:val="22"/>
        </w:rPr>
      </w:pPr>
      <w:r>
        <w:rPr>
          <w:rFonts w:hint="eastAsia" w:ascii="仿宋" w:hAnsi="仿宋" w:eastAsia="仿宋" w:cs="仿宋"/>
          <w:sz w:val="22"/>
        </w:rPr>
        <w:t>组织机构代码：                              组织机构代码：</w:t>
      </w:r>
    </w:p>
    <w:p w14:paraId="4CBDD518">
      <w:pPr>
        <w:spacing w:line="360" w:lineRule="auto"/>
        <w:jc w:val="left"/>
        <w:rPr>
          <w:rFonts w:hint="eastAsia" w:ascii="仿宋" w:hAnsi="仿宋" w:eastAsia="仿宋" w:cs="仿宋"/>
          <w:sz w:val="22"/>
        </w:rPr>
      </w:pPr>
      <w:r>
        <w:rPr>
          <w:rFonts w:hint="eastAsia" w:ascii="仿宋" w:hAnsi="仿宋" w:eastAsia="仿宋" w:cs="仿宋"/>
          <w:sz w:val="22"/>
        </w:rPr>
        <w:t>地  址：                                    地  址：</w:t>
      </w:r>
    </w:p>
    <w:p w14:paraId="29A4D61B">
      <w:pPr>
        <w:spacing w:line="360" w:lineRule="auto"/>
        <w:jc w:val="left"/>
        <w:rPr>
          <w:rFonts w:hint="eastAsia" w:ascii="仿宋" w:hAnsi="仿宋" w:eastAsia="仿宋" w:cs="仿宋"/>
          <w:sz w:val="22"/>
        </w:rPr>
      </w:pPr>
      <w:r>
        <w:rPr>
          <w:rFonts w:hint="eastAsia" w:ascii="仿宋" w:hAnsi="仿宋" w:eastAsia="仿宋" w:cs="仿宋"/>
          <w:sz w:val="22"/>
        </w:rPr>
        <w:t>邮政编码：                                  邮政编码：</w:t>
      </w:r>
    </w:p>
    <w:p w14:paraId="33B6A23A">
      <w:pPr>
        <w:spacing w:line="360" w:lineRule="auto"/>
        <w:jc w:val="left"/>
        <w:rPr>
          <w:rFonts w:hint="eastAsia" w:ascii="仿宋" w:hAnsi="仿宋" w:eastAsia="仿宋" w:cs="仿宋"/>
          <w:sz w:val="22"/>
        </w:rPr>
      </w:pPr>
      <w:r>
        <w:rPr>
          <w:rFonts w:hint="eastAsia" w:ascii="仿宋" w:hAnsi="仿宋" w:eastAsia="仿宋" w:cs="仿宋"/>
          <w:sz w:val="22"/>
        </w:rPr>
        <w:t>法定代表人：                                法定代表人：</w:t>
      </w:r>
    </w:p>
    <w:p w14:paraId="007A4B70">
      <w:pPr>
        <w:spacing w:line="360" w:lineRule="auto"/>
        <w:jc w:val="left"/>
        <w:rPr>
          <w:rFonts w:hint="eastAsia" w:ascii="仿宋" w:hAnsi="仿宋" w:eastAsia="仿宋" w:cs="仿宋"/>
          <w:sz w:val="22"/>
        </w:rPr>
      </w:pPr>
      <w:r>
        <w:rPr>
          <w:rFonts w:hint="eastAsia" w:ascii="仿宋" w:hAnsi="仿宋" w:eastAsia="仿宋" w:cs="仿宋"/>
          <w:sz w:val="22"/>
        </w:rPr>
        <w:t>委托代理人：                                委托代理人：</w:t>
      </w:r>
    </w:p>
    <w:p w14:paraId="6EACBC49">
      <w:pPr>
        <w:spacing w:line="360" w:lineRule="auto"/>
        <w:jc w:val="left"/>
        <w:rPr>
          <w:rFonts w:hint="eastAsia" w:ascii="仿宋" w:hAnsi="仿宋" w:eastAsia="仿宋" w:cs="仿宋"/>
          <w:sz w:val="22"/>
        </w:rPr>
      </w:pPr>
      <w:r>
        <w:rPr>
          <w:rFonts w:hint="eastAsia" w:ascii="仿宋" w:hAnsi="仿宋" w:eastAsia="仿宋" w:cs="仿宋"/>
          <w:sz w:val="22"/>
        </w:rPr>
        <w:t>电  话：                                    电  话：</w:t>
      </w:r>
    </w:p>
    <w:p w14:paraId="73C029FD">
      <w:pPr>
        <w:spacing w:line="360" w:lineRule="auto"/>
        <w:jc w:val="left"/>
        <w:rPr>
          <w:rFonts w:hint="eastAsia" w:ascii="仿宋" w:hAnsi="仿宋" w:eastAsia="仿宋" w:cs="仿宋"/>
          <w:sz w:val="22"/>
        </w:rPr>
      </w:pPr>
      <w:r>
        <w:rPr>
          <w:rFonts w:hint="eastAsia" w:ascii="仿宋" w:hAnsi="仿宋" w:eastAsia="仿宋" w:cs="仿宋"/>
          <w:sz w:val="22"/>
        </w:rPr>
        <w:t>传  真：                                    传  真：</w:t>
      </w:r>
    </w:p>
    <w:p w14:paraId="2E17C2D3">
      <w:pPr>
        <w:spacing w:line="360" w:lineRule="auto"/>
        <w:jc w:val="left"/>
        <w:rPr>
          <w:rFonts w:hint="eastAsia" w:ascii="仿宋" w:hAnsi="仿宋" w:eastAsia="仿宋" w:cs="仿宋"/>
          <w:sz w:val="22"/>
        </w:rPr>
      </w:pPr>
      <w:r>
        <w:rPr>
          <w:rFonts w:hint="eastAsia" w:ascii="仿宋" w:hAnsi="仿宋" w:eastAsia="仿宋" w:cs="仿宋"/>
          <w:sz w:val="22"/>
        </w:rPr>
        <w:t>开户银行：                                  开户银行：</w:t>
      </w:r>
    </w:p>
    <w:p w14:paraId="6099F27D">
      <w:pPr>
        <w:spacing w:line="360" w:lineRule="auto"/>
        <w:jc w:val="left"/>
        <w:rPr>
          <w:rFonts w:hint="eastAsia" w:ascii="仿宋" w:hAnsi="仿宋" w:eastAsia="仿宋" w:cs="仿宋"/>
          <w:sz w:val="22"/>
        </w:rPr>
      </w:pPr>
      <w:r>
        <w:rPr>
          <w:rFonts w:hint="eastAsia" w:ascii="仿宋" w:hAnsi="仿宋" w:eastAsia="仿宋" w:cs="仿宋"/>
          <w:sz w:val="22"/>
        </w:rPr>
        <w:t>账  号：                                    账  号：</w:t>
      </w:r>
    </w:p>
    <w:p w14:paraId="0CF89D73">
      <w:pPr>
        <w:pStyle w:val="4"/>
        <w:jc w:val="center"/>
        <w:rPr>
          <w:rFonts w:hint="eastAsia" w:ascii="仿宋" w:hAnsi="仿宋" w:eastAsia="仿宋" w:cs="仿宋"/>
          <w:sz w:val="40"/>
          <w:szCs w:val="44"/>
        </w:rPr>
      </w:pPr>
      <w:r>
        <w:rPr>
          <w:rFonts w:hint="eastAsia" w:ascii="仿宋" w:hAnsi="仿宋" w:eastAsia="仿宋" w:cs="仿宋"/>
          <w:b/>
          <w:sz w:val="36"/>
          <w:szCs w:val="24"/>
        </w:rPr>
        <w:br w:type="page"/>
      </w:r>
      <w:bookmarkStart w:id="201" w:name="_Toc168041459"/>
      <w:bookmarkStart w:id="202" w:name="_Toc351203494"/>
      <w:r>
        <w:rPr>
          <w:rFonts w:hint="eastAsia" w:ascii="仿宋" w:hAnsi="仿宋" w:eastAsia="仿宋" w:cs="仿宋"/>
          <w:color w:val="auto"/>
          <w:sz w:val="40"/>
          <w:szCs w:val="44"/>
        </w:rPr>
        <w:t>第二部分 通用合同条款</w:t>
      </w:r>
      <w:bookmarkEnd w:id="201"/>
      <w:bookmarkEnd w:id="202"/>
      <w:bookmarkStart w:id="203" w:name="_Toc337558727"/>
    </w:p>
    <w:p w14:paraId="38BCF7CE">
      <w:pPr>
        <w:jc w:val="left"/>
        <w:rPr>
          <w:rFonts w:hint="eastAsia" w:ascii="仿宋" w:hAnsi="仿宋" w:eastAsia="仿宋" w:cs="仿宋"/>
          <w:sz w:val="22"/>
        </w:rPr>
      </w:pPr>
      <w:r>
        <w:rPr>
          <w:rFonts w:hint="eastAsia" w:ascii="仿宋" w:hAnsi="仿宋" w:eastAsia="仿宋" w:cs="仿宋"/>
          <w:sz w:val="22"/>
        </w:rPr>
        <w:t>此部分采用《建设工程施工合同》范本（GF-2017-0201）中《第二部分 通用条款》</w:t>
      </w:r>
    </w:p>
    <w:bookmarkEnd w:id="203"/>
    <w:p w14:paraId="447B6810">
      <w:pPr>
        <w:pStyle w:val="4"/>
        <w:jc w:val="center"/>
        <w:rPr>
          <w:rFonts w:hint="eastAsia" w:ascii="仿宋" w:hAnsi="仿宋" w:eastAsia="仿宋" w:cs="仿宋"/>
          <w:color w:val="auto"/>
          <w:sz w:val="40"/>
          <w:szCs w:val="44"/>
        </w:rPr>
      </w:pPr>
      <w:bookmarkStart w:id="204" w:name="_Toc168041460"/>
      <w:r>
        <w:rPr>
          <w:rFonts w:hint="eastAsia" w:ascii="仿宋" w:hAnsi="仿宋" w:eastAsia="仿宋" w:cs="仿宋"/>
          <w:color w:val="auto"/>
          <w:sz w:val="40"/>
          <w:szCs w:val="44"/>
        </w:rPr>
        <w:t>第三部分 专用合同条款</w:t>
      </w:r>
      <w:bookmarkEnd w:id="204"/>
    </w:p>
    <w:p w14:paraId="4D53F991">
      <w:pPr>
        <w:pStyle w:val="5"/>
        <w:keepNext w:val="0"/>
        <w:adjustRightInd w:val="0"/>
        <w:snapToGrid w:val="0"/>
        <w:spacing w:line="360" w:lineRule="auto"/>
        <w:jc w:val="left"/>
        <w:rPr>
          <w:rFonts w:hint="eastAsia" w:ascii="仿宋" w:hAnsi="仿宋" w:eastAsia="仿宋" w:cs="仿宋"/>
          <w:b/>
          <w:color w:val="auto"/>
          <w:sz w:val="22"/>
          <w:szCs w:val="24"/>
        </w:rPr>
      </w:pPr>
      <w:bookmarkStart w:id="205" w:name="_Toc351203633"/>
      <w:r>
        <w:rPr>
          <w:rFonts w:hint="eastAsia" w:ascii="仿宋" w:hAnsi="仿宋" w:eastAsia="仿宋" w:cs="仿宋"/>
          <w:b/>
          <w:color w:val="auto"/>
          <w:sz w:val="22"/>
          <w:szCs w:val="24"/>
        </w:rPr>
        <w:t>1</w:t>
      </w:r>
      <w:bookmarkStart w:id="206" w:name="_Toc297048342"/>
      <w:bookmarkStart w:id="207" w:name="_Toc296944495"/>
      <w:bookmarkStart w:id="208" w:name="_Toc296346657"/>
      <w:bookmarkStart w:id="209" w:name="_Toc296891196"/>
      <w:bookmarkStart w:id="210" w:name="_Toc296347155"/>
      <w:bookmarkStart w:id="211" w:name="_Toc296503156"/>
      <w:bookmarkStart w:id="212" w:name="_Toc292559866"/>
      <w:bookmarkStart w:id="213" w:name="_Toc296890984"/>
      <w:bookmarkStart w:id="214" w:name="_Toc292559361"/>
      <w:bookmarkStart w:id="215" w:name="_Toc297120456"/>
      <w:r>
        <w:rPr>
          <w:rFonts w:hint="eastAsia" w:ascii="仿宋" w:hAnsi="仿宋" w:eastAsia="仿宋" w:cs="仿宋"/>
          <w:b/>
          <w:color w:val="auto"/>
          <w:sz w:val="22"/>
          <w:szCs w:val="24"/>
        </w:rPr>
        <w:t>. 一般约定</w:t>
      </w:r>
      <w:bookmarkEnd w:id="205"/>
    </w:p>
    <w:bookmarkEnd w:id="206"/>
    <w:bookmarkEnd w:id="207"/>
    <w:bookmarkEnd w:id="208"/>
    <w:bookmarkEnd w:id="209"/>
    <w:bookmarkEnd w:id="210"/>
    <w:bookmarkEnd w:id="211"/>
    <w:bookmarkEnd w:id="212"/>
    <w:bookmarkEnd w:id="213"/>
    <w:bookmarkEnd w:id="214"/>
    <w:bookmarkEnd w:id="215"/>
    <w:p w14:paraId="2999FBA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 词语定义</w:t>
      </w:r>
    </w:p>
    <w:p w14:paraId="1358168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1.1.1合同</w:t>
      </w:r>
    </w:p>
    <w:p w14:paraId="3565F3B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1.1.1.10其他合同文件包括：</w:t>
      </w:r>
      <w:r>
        <w:rPr>
          <w:rFonts w:hint="eastAsia" w:ascii="仿宋" w:hAnsi="仿宋" w:eastAsia="仿宋" w:cs="仿宋"/>
          <w:sz w:val="22"/>
          <w:u w:val="single"/>
        </w:rPr>
        <w:t>（1）合同协议书；（2）明确双方权利、义务的纪要、补充协议；（3）中标通知书；（4）投标函及其附录；（5）专用合同条款及其附件；（6）通用合同条款；（7）标准、规范及有关技术文件、技术要求； (8)施工图纸；(9) 招标文件及招标文件修改澄清(含答疑)；（10）投标文件（不含投标函及投标函附录）；（11）已标价工程量清单；（12）双方有关工程的洽商、变更等相关文件</w:t>
      </w:r>
      <w:r>
        <w:rPr>
          <w:rFonts w:hint="eastAsia" w:ascii="仿宋" w:hAnsi="仿宋" w:eastAsia="仿宋" w:cs="仿宋"/>
          <w:sz w:val="22"/>
        </w:rPr>
        <w:t>。</w:t>
      </w:r>
    </w:p>
    <w:p w14:paraId="234495A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1.1.2 合同当事人及其他相关方</w:t>
      </w:r>
    </w:p>
    <w:p w14:paraId="192E8C3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1.1.2.4监理人：</w:t>
      </w:r>
    </w:p>
    <w:p w14:paraId="29C55A8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名    称：</w:t>
      </w:r>
      <w:r>
        <w:rPr>
          <w:rFonts w:hint="eastAsia" w:ascii="仿宋" w:hAnsi="仿宋" w:eastAsia="仿宋" w:cs="仿宋"/>
          <w:sz w:val="22"/>
          <w:u w:val="single"/>
        </w:rPr>
        <w:t xml:space="preserve">                            </w:t>
      </w:r>
      <w:r>
        <w:rPr>
          <w:rFonts w:hint="eastAsia" w:ascii="仿宋" w:hAnsi="仿宋" w:eastAsia="仿宋" w:cs="仿宋"/>
          <w:sz w:val="22"/>
        </w:rPr>
        <w:t>；</w:t>
      </w:r>
    </w:p>
    <w:p w14:paraId="132E599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资质类别和等级：</w:t>
      </w:r>
      <w:r>
        <w:rPr>
          <w:rFonts w:hint="eastAsia" w:ascii="仿宋" w:hAnsi="仿宋" w:eastAsia="仿宋" w:cs="仿宋"/>
          <w:sz w:val="22"/>
          <w:u w:val="single"/>
        </w:rPr>
        <w:t xml:space="preserve">                      </w:t>
      </w:r>
      <w:r>
        <w:rPr>
          <w:rFonts w:hint="eastAsia" w:ascii="仿宋" w:hAnsi="仿宋" w:eastAsia="仿宋" w:cs="仿宋"/>
          <w:sz w:val="22"/>
        </w:rPr>
        <w:t>；</w:t>
      </w:r>
    </w:p>
    <w:p w14:paraId="742EBA7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 xml:space="preserve">                           ；</w:t>
      </w:r>
    </w:p>
    <w:p w14:paraId="3FB40FD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电子信箱：</w:t>
      </w:r>
      <w:r>
        <w:rPr>
          <w:rFonts w:hint="eastAsia" w:ascii="仿宋" w:hAnsi="仿宋" w:eastAsia="仿宋" w:cs="仿宋"/>
          <w:sz w:val="22"/>
          <w:u w:val="single"/>
        </w:rPr>
        <w:t xml:space="preserve">                            </w:t>
      </w:r>
      <w:r>
        <w:rPr>
          <w:rFonts w:hint="eastAsia" w:ascii="仿宋" w:hAnsi="仿宋" w:eastAsia="仿宋" w:cs="仿宋"/>
          <w:sz w:val="22"/>
        </w:rPr>
        <w:t>；</w:t>
      </w:r>
    </w:p>
    <w:p w14:paraId="79D0965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通信地址：</w:t>
      </w:r>
      <w:r>
        <w:rPr>
          <w:rFonts w:hint="eastAsia" w:ascii="仿宋" w:hAnsi="仿宋" w:eastAsia="仿宋" w:cs="仿宋"/>
          <w:sz w:val="22"/>
          <w:u w:val="single"/>
        </w:rPr>
        <w:t xml:space="preserve">                             </w:t>
      </w:r>
      <w:r>
        <w:rPr>
          <w:rFonts w:hint="eastAsia" w:ascii="仿宋" w:hAnsi="仿宋" w:eastAsia="仿宋" w:cs="仿宋"/>
          <w:sz w:val="22"/>
        </w:rPr>
        <w:t>。</w:t>
      </w:r>
    </w:p>
    <w:p w14:paraId="5223EB9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1.1.2.5 设计人：</w:t>
      </w:r>
    </w:p>
    <w:p w14:paraId="47118FA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名    称：</w:t>
      </w:r>
      <w:r>
        <w:rPr>
          <w:rFonts w:hint="eastAsia" w:ascii="仿宋" w:hAnsi="仿宋" w:eastAsia="仿宋" w:cs="仿宋"/>
          <w:sz w:val="22"/>
          <w:u w:val="single"/>
        </w:rPr>
        <w:t>/</w:t>
      </w:r>
      <w:r>
        <w:rPr>
          <w:rFonts w:hint="eastAsia" w:ascii="仿宋" w:hAnsi="仿宋" w:eastAsia="仿宋" w:cs="仿宋"/>
          <w:sz w:val="22"/>
        </w:rPr>
        <w:t>；</w:t>
      </w:r>
    </w:p>
    <w:p w14:paraId="07C1531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资质类别和等级：</w:t>
      </w:r>
      <w:r>
        <w:rPr>
          <w:rFonts w:hint="eastAsia" w:ascii="仿宋" w:hAnsi="仿宋" w:eastAsia="仿宋" w:cs="仿宋"/>
          <w:sz w:val="22"/>
          <w:u w:val="single"/>
        </w:rPr>
        <w:t>/</w:t>
      </w:r>
      <w:r>
        <w:rPr>
          <w:rFonts w:hint="eastAsia" w:ascii="仿宋" w:hAnsi="仿宋" w:eastAsia="仿宋" w:cs="仿宋"/>
          <w:sz w:val="22"/>
        </w:rPr>
        <w:t>；</w:t>
      </w:r>
    </w:p>
    <w:p w14:paraId="1E9E37A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w:t>
      </w:r>
      <w:r>
        <w:rPr>
          <w:rFonts w:hint="eastAsia" w:ascii="仿宋" w:hAnsi="仿宋" w:eastAsia="仿宋" w:cs="仿宋"/>
          <w:sz w:val="22"/>
        </w:rPr>
        <w:t>；</w:t>
      </w:r>
    </w:p>
    <w:p w14:paraId="36CA03B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电子信箱：</w:t>
      </w:r>
      <w:r>
        <w:rPr>
          <w:rFonts w:hint="eastAsia" w:ascii="仿宋" w:hAnsi="仿宋" w:eastAsia="仿宋" w:cs="仿宋"/>
          <w:sz w:val="22"/>
          <w:u w:val="single"/>
        </w:rPr>
        <w:t>/</w:t>
      </w:r>
      <w:r>
        <w:rPr>
          <w:rFonts w:hint="eastAsia" w:ascii="仿宋" w:hAnsi="仿宋" w:eastAsia="仿宋" w:cs="仿宋"/>
          <w:sz w:val="22"/>
        </w:rPr>
        <w:t>；</w:t>
      </w:r>
    </w:p>
    <w:p w14:paraId="7EFE767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通信地址：</w:t>
      </w:r>
      <w:r>
        <w:rPr>
          <w:rFonts w:hint="eastAsia" w:ascii="仿宋" w:hAnsi="仿宋" w:eastAsia="仿宋" w:cs="仿宋"/>
          <w:sz w:val="22"/>
          <w:u w:val="single"/>
        </w:rPr>
        <w:t>/</w:t>
      </w:r>
      <w:r>
        <w:rPr>
          <w:rFonts w:hint="eastAsia" w:ascii="仿宋" w:hAnsi="仿宋" w:eastAsia="仿宋" w:cs="仿宋"/>
          <w:sz w:val="22"/>
        </w:rPr>
        <w:t>。</w:t>
      </w:r>
    </w:p>
    <w:p w14:paraId="0312FF3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1.1.3 工程和设备</w:t>
      </w:r>
    </w:p>
    <w:p w14:paraId="0AD6522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1.1.3.7 作为施工现场组成部分的其他场所包括：</w:t>
      </w:r>
      <w:r>
        <w:rPr>
          <w:rFonts w:hint="eastAsia" w:ascii="仿宋" w:hAnsi="仿宋" w:eastAsia="仿宋" w:cs="仿宋"/>
          <w:sz w:val="22"/>
          <w:u w:val="single"/>
        </w:rPr>
        <w:t xml:space="preserve">   /    </w:t>
      </w:r>
      <w:r>
        <w:rPr>
          <w:rFonts w:hint="eastAsia" w:ascii="仿宋" w:hAnsi="仿宋" w:eastAsia="仿宋" w:cs="仿宋"/>
          <w:sz w:val="22"/>
        </w:rPr>
        <w:t>。</w:t>
      </w:r>
    </w:p>
    <w:p w14:paraId="5B1B56B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1.1.3.9 永久占地包括：</w:t>
      </w:r>
      <w:r>
        <w:rPr>
          <w:rFonts w:hint="eastAsia" w:ascii="仿宋" w:hAnsi="仿宋" w:eastAsia="仿宋" w:cs="仿宋"/>
          <w:sz w:val="22"/>
          <w:u w:val="single"/>
        </w:rPr>
        <w:t>规划红线范围内的土地</w:t>
      </w:r>
      <w:r>
        <w:rPr>
          <w:rFonts w:hint="eastAsia" w:ascii="仿宋" w:hAnsi="仿宋" w:eastAsia="仿宋" w:cs="仿宋"/>
          <w:sz w:val="22"/>
        </w:rPr>
        <w:t xml:space="preserve">。 </w:t>
      </w:r>
    </w:p>
    <w:p w14:paraId="42DAE7E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1.1.3.10 临时占地包括：</w:t>
      </w:r>
      <w:r>
        <w:rPr>
          <w:rFonts w:hint="eastAsia" w:ascii="仿宋" w:hAnsi="仿宋" w:eastAsia="仿宋" w:cs="仿宋"/>
          <w:sz w:val="22"/>
          <w:u w:val="single"/>
        </w:rPr>
        <w:t xml:space="preserve">  /   </w:t>
      </w:r>
      <w:r>
        <w:rPr>
          <w:rFonts w:hint="eastAsia" w:ascii="仿宋" w:hAnsi="仿宋" w:eastAsia="仿宋" w:cs="仿宋"/>
          <w:sz w:val="22"/>
        </w:rPr>
        <w:t>。</w:t>
      </w:r>
    </w:p>
    <w:p w14:paraId="62FEE79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 xml:space="preserve">1.3法律 </w:t>
      </w:r>
    </w:p>
    <w:p w14:paraId="6806D2C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适用于合同的其他规范性文件：</w:t>
      </w:r>
      <w:r>
        <w:rPr>
          <w:rFonts w:hint="eastAsia" w:ascii="仿宋" w:hAnsi="仿宋" w:eastAsia="仿宋" w:cs="仿宋"/>
          <w:sz w:val="22"/>
          <w:u w:val="single"/>
        </w:rPr>
        <w:t>江苏省、南京市、栖霞区的有关工程建设类的规范性文件</w:t>
      </w:r>
      <w:r>
        <w:rPr>
          <w:rFonts w:hint="eastAsia" w:ascii="仿宋" w:hAnsi="仿宋" w:eastAsia="仿宋" w:cs="仿宋"/>
          <w:sz w:val="22"/>
        </w:rPr>
        <w:t>。</w:t>
      </w:r>
    </w:p>
    <w:p w14:paraId="68D04CF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 标准和规范</w:t>
      </w:r>
    </w:p>
    <w:p w14:paraId="1A24AC0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1.4.1适用于工程的标准规范包括：</w:t>
      </w:r>
      <w:r>
        <w:rPr>
          <w:rFonts w:hint="eastAsia" w:ascii="仿宋" w:hAnsi="仿宋" w:eastAsia="仿宋" w:cs="仿宋"/>
          <w:sz w:val="22"/>
          <w:u w:val="single"/>
        </w:rPr>
        <w:t>现行国家、行业、专业和地方有关标准、规范、规定和条例所阐明的强制性标准。当对同一考核指标国家、行业、专业和地方颁布的有关标准、规范、规定和条例产生不一致时，以较为严格者为准</w:t>
      </w:r>
      <w:r>
        <w:rPr>
          <w:rFonts w:hint="eastAsia" w:ascii="仿宋" w:hAnsi="仿宋" w:eastAsia="仿宋" w:cs="仿宋"/>
          <w:sz w:val="22"/>
        </w:rPr>
        <w:t>。</w:t>
      </w:r>
    </w:p>
    <w:p w14:paraId="0BE8EA7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1.4.2 发包人提供国外标准、规范的名称：</w:t>
      </w:r>
      <w:r>
        <w:rPr>
          <w:rFonts w:hint="eastAsia" w:ascii="仿宋" w:hAnsi="仿宋" w:eastAsia="仿宋" w:cs="仿宋"/>
          <w:sz w:val="22"/>
          <w:u w:val="single"/>
        </w:rPr>
        <w:t>/</w:t>
      </w:r>
      <w:r>
        <w:rPr>
          <w:rFonts w:hint="eastAsia" w:ascii="仿宋" w:hAnsi="仿宋" w:eastAsia="仿宋" w:cs="仿宋"/>
          <w:sz w:val="22"/>
        </w:rPr>
        <w:t>；</w:t>
      </w:r>
    </w:p>
    <w:p w14:paraId="0177306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发包人提供国外标准、规范的份数：</w:t>
      </w:r>
      <w:r>
        <w:rPr>
          <w:rFonts w:hint="eastAsia" w:ascii="仿宋" w:hAnsi="仿宋" w:eastAsia="仿宋" w:cs="仿宋"/>
          <w:sz w:val="22"/>
          <w:u w:val="single"/>
        </w:rPr>
        <w:t xml:space="preserve">/       </w:t>
      </w:r>
      <w:r>
        <w:rPr>
          <w:rFonts w:hint="eastAsia" w:ascii="仿宋" w:hAnsi="仿宋" w:eastAsia="仿宋" w:cs="仿宋"/>
          <w:sz w:val="22"/>
        </w:rPr>
        <w:t>；</w:t>
      </w:r>
    </w:p>
    <w:p w14:paraId="54894F4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发包人提供国外标准、规范的名称：</w:t>
      </w:r>
      <w:r>
        <w:rPr>
          <w:rFonts w:hint="eastAsia" w:ascii="仿宋" w:hAnsi="仿宋" w:eastAsia="仿宋" w:cs="仿宋"/>
          <w:sz w:val="22"/>
          <w:u w:val="single"/>
        </w:rPr>
        <w:t xml:space="preserve">/      </w:t>
      </w:r>
      <w:r>
        <w:rPr>
          <w:rFonts w:hint="eastAsia" w:ascii="仿宋" w:hAnsi="仿宋" w:eastAsia="仿宋" w:cs="仿宋"/>
          <w:sz w:val="22"/>
        </w:rPr>
        <w:t>。</w:t>
      </w:r>
    </w:p>
    <w:p w14:paraId="32B2A7BE">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1.4.3发包人对工程的技术标准和功能要求的特殊要求：</w:t>
      </w:r>
      <w:r>
        <w:rPr>
          <w:rFonts w:hint="eastAsia" w:ascii="仿宋" w:hAnsi="仿宋" w:eastAsia="仿宋" w:cs="仿宋"/>
          <w:sz w:val="22"/>
          <w:u w:val="single"/>
        </w:rPr>
        <w:t>/</w:t>
      </w:r>
      <w:r>
        <w:rPr>
          <w:rFonts w:hint="eastAsia" w:ascii="仿宋" w:hAnsi="仿宋" w:eastAsia="仿宋" w:cs="仿宋"/>
          <w:sz w:val="22"/>
        </w:rPr>
        <w:t>。</w:t>
      </w:r>
    </w:p>
    <w:p w14:paraId="0AD9E04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1.5 合同文件的优先顺序</w:t>
      </w:r>
    </w:p>
    <w:p w14:paraId="637D6C0A">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合同文件组成及优先顺序为：</w:t>
      </w:r>
      <w:r>
        <w:rPr>
          <w:rFonts w:hint="eastAsia" w:ascii="仿宋" w:hAnsi="仿宋" w:eastAsia="仿宋" w:cs="仿宋"/>
          <w:sz w:val="22"/>
          <w:u w:val="single"/>
        </w:rPr>
        <w:t xml:space="preserve">（1）合同协议书；（2）明确双方权利、义务的纪要、补充协议；（3）中标通知书；（4）投标函及其附录；（5）专用合同条款及其附件；（6）通用合同条款；（7）标准、规范及有关技术文件、技术要求； (8)施工图纸；(9) 招标文件及招标文件修改澄清(含答疑)；（10）投标文件（不含投标函及投标函附录）；（11）已标价工程量清单；（12）双方有关工程的洽商、变更等相关文件。以此为解释顺序。  </w:t>
      </w:r>
      <w:r>
        <w:rPr>
          <w:rFonts w:hint="eastAsia" w:ascii="仿宋" w:hAnsi="仿宋" w:eastAsia="仿宋" w:cs="仿宋"/>
          <w:sz w:val="22"/>
        </w:rPr>
        <w:t xml:space="preserve">  </w:t>
      </w:r>
    </w:p>
    <w:p w14:paraId="5DA6A594">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u w:val="single"/>
        </w:rPr>
        <w:t>上述各项合同文件包括合同当事人就该项合同文件所作出的补充和修改，属于同一类内容的文件，应以最新签署的为准，如果合同出现模糊、矛盾或不一致之处（本合同另有约定的除外），以发包人的解释和澄清为准。</w:t>
      </w:r>
    </w:p>
    <w:p w14:paraId="5D2B18D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 图纸和承包人文件</w:t>
      </w:r>
      <w:r>
        <w:rPr>
          <w:rFonts w:hint="eastAsia" w:ascii="仿宋" w:hAnsi="仿宋" w:eastAsia="仿宋" w:cs="仿宋"/>
          <w:sz w:val="22"/>
        </w:rPr>
        <w:tab/>
      </w:r>
    </w:p>
    <w:p w14:paraId="59642C5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1.6.1 图纸的提供</w:t>
      </w:r>
    </w:p>
    <w:p w14:paraId="73070A8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发包人向承包人提供图纸的期限：</w:t>
      </w:r>
      <w:r>
        <w:rPr>
          <w:rFonts w:hint="eastAsia" w:ascii="仿宋" w:hAnsi="仿宋" w:eastAsia="仿宋" w:cs="仿宋"/>
          <w:sz w:val="22"/>
          <w:u w:val="single"/>
        </w:rPr>
        <w:t xml:space="preserve"> 开工前7天 </w:t>
      </w:r>
      <w:r>
        <w:rPr>
          <w:rFonts w:hint="eastAsia" w:ascii="仿宋" w:hAnsi="仿宋" w:eastAsia="仿宋" w:cs="仿宋"/>
          <w:sz w:val="22"/>
        </w:rPr>
        <w:t>；</w:t>
      </w:r>
    </w:p>
    <w:p w14:paraId="702CE5D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发包人向承包人提供图纸的数量：</w:t>
      </w:r>
      <w:r>
        <w:rPr>
          <w:rFonts w:hint="eastAsia" w:ascii="仿宋" w:hAnsi="仿宋" w:eastAsia="仿宋" w:cs="仿宋"/>
          <w:sz w:val="22"/>
          <w:u w:val="single"/>
        </w:rPr>
        <w:t xml:space="preserve"> 开工前提供6套施工图纸，承包人如需增加图纸份数，发包人可代为复制，复制费用由承包人承担</w:t>
      </w:r>
      <w:r>
        <w:rPr>
          <w:rFonts w:hint="eastAsia" w:ascii="仿宋" w:hAnsi="仿宋" w:eastAsia="仿宋" w:cs="仿宋"/>
          <w:sz w:val="22"/>
        </w:rPr>
        <w:t>。</w:t>
      </w:r>
    </w:p>
    <w:p w14:paraId="05796310">
      <w:pPr>
        <w:adjustRightInd w:val="0"/>
        <w:snapToGrid w:val="0"/>
        <w:spacing w:line="360" w:lineRule="auto"/>
        <w:ind w:firstLine="2"/>
        <w:jc w:val="left"/>
        <w:rPr>
          <w:rFonts w:hint="eastAsia" w:ascii="仿宋" w:hAnsi="仿宋" w:eastAsia="仿宋" w:cs="仿宋"/>
          <w:sz w:val="22"/>
        </w:rPr>
      </w:pPr>
      <w:r>
        <w:rPr>
          <w:rFonts w:hint="eastAsia" w:ascii="仿宋" w:hAnsi="仿宋" w:eastAsia="仿宋" w:cs="仿宋"/>
          <w:sz w:val="22"/>
        </w:rPr>
        <w:t xml:space="preserve">    发包人对图纸的保密要求：</w:t>
      </w:r>
      <w:r>
        <w:rPr>
          <w:rFonts w:hint="eastAsia" w:ascii="仿宋" w:hAnsi="仿宋" w:eastAsia="仿宋" w:cs="仿宋"/>
          <w:sz w:val="22"/>
          <w:u w:val="single"/>
        </w:rPr>
        <w:t>保密，不可向第三人提供本项目图纸</w:t>
      </w:r>
      <w:r>
        <w:rPr>
          <w:rFonts w:hint="eastAsia" w:ascii="仿宋" w:hAnsi="仿宋" w:eastAsia="仿宋" w:cs="仿宋"/>
          <w:sz w:val="22"/>
        </w:rPr>
        <w:t>。 </w:t>
      </w:r>
    </w:p>
    <w:p w14:paraId="1CDA121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发包人向承包人提供图纸的内容：</w:t>
      </w:r>
      <w:r>
        <w:rPr>
          <w:rFonts w:hint="eastAsia" w:ascii="仿宋" w:hAnsi="仿宋" w:eastAsia="仿宋" w:cs="仿宋"/>
          <w:sz w:val="22"/>
          <w:u w:val="single"/>
        </w:rPr>
        <w:t>所涉及施工范围内的施工图。在整个施工过程中承包人需根据各专业图纸的增加和变更，及时做好图纸的汇总和更新</w:t>
      </w:r>
      <w:r>
        <w:rPr>
          <w:rFonts w:hint="eastAsia" w:ascii="仿宋" w:hAnsi="仿宋" w:eastAsia="仿宋" w:cs="仿宋"/>
          <w:sz w:val="22"/>
        </w:rPr>
        <w:t>。 </w:t>
      </w:r>
    </w:p>
    <w:p w14:paraId="74F4B57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1.6.4 承包人文件</w:t>
      </w:r>
    </w:p>
    <w:p w14:paraId="6AE1E659">
      <w:pPr>
        <w:adjustRightInd w:val="0"/>
        <w:snapToGrid w:val="0"/>
        <w:spacing w:line="360" w:lineRule="auto"/>
        <w:ind w:firstLine="2"/>
        <w:jc w:val="left"/>
        <w:rPr>
          <w:rFonts w:hint="eastAsia" w:ascii="仿宋" w:hAnsi="仿宋" w:eastAsia="仿宋" w:cs="仿宋"/>
          <w:sz w:val="22"/>
          <w:u w:val="single"/>
        </w:rPr>
      </w:pPr>
      <w:r>
        <w:rPr>
          <w:rFonts w:hint="eastAsia" w:ascii="仿宋" w:hAnsi="仿宋" w:eastAsia="仿宋" w:cs="仿宋"/>
          <w:sz w:val="22"/>
        </w:rPr>
        <w:t xml:space="preserve">    需要由承包人提供的文件，包括：</w:t>
      </w:r>
      <w:r>
        <w:rPr>
          <w:rFonts w:hint="eastAsia" w:ascii="仿宋" w:hAnsi="仿宋" w:eastAsia="仿宋" w:cs="仿宋"/>
          <w:sz w:val="22"/>
          <w:u w:val="single"/>
        </w:rPr>
        <w:t>必须按发包人和监理的要求完成开工前的申请报告以及所要求的各类报表，向发包人及监理人报送施工组织设计、总进度计划与材料计划；向发包人提交工程进度计划及相应计划进度、甲供材料和设备供应计划、乙供材料、设备的合格证明、检验试验报告，各类统计表和应急预案；报送当月完成工程量报表(含工程变更及签证预算)、承包人采购材料清单进度计划、以及下月进度计划；发包人要求提供的其他报表或材料</w:t>
      </w:r>
      <w:r>
        <w:rPr>
          <w:rFonts w:hint="eastAsia" w:ascii="仿宋" w:hAnsi="仿宋" w:eastAsia="仿宋" w:cs="仿宋"/>
          <w:sz w:val="22"/>
        </w:rPr>
        <w:t>；</w:t>
      </w:r>
    </w:p>
    <w:p w14:paraId="774EE1FC">
      <w:pPr>
        <w:adjustRightInd w:val="0"/>
        <w:snapToGrid w:val="0"/>
        <w:spacing w:line="360" w:lineRule="auto"/>
        <w:ind w:firstLine="2"/>
        <w:jc w:val="left"/>
        <w:rPr>
          <w:rFonts w:hint="eastAsia" w:ascii="仿宋" w:hAnsi="仿宋" w:eastAsia="仿宋" w:cs="仿宋"/>
          <w:sz w:val="22"/>
          <w:u w:val="single"/>
        </w:rPr>
      </w:pPr>
      <w:r>
        <w:rPr>
          <w:rFonts w:hint="eastAsia" w:ascii="仿宋" w:hAnsi="仿宋" w:eastAsia="仿宋" w:cs="仿宋"/>
          <w:sz w:val="22"/>
        </w:rPr>
        <w:t xml:space="preserve">    承包人提供的文件的期限为：</w:t>
      </w:r>
      <w:r>
        <w:rPr>
          <w:rFonts w:hint="eastAsia" w:ascii="仿宋" w:hAnsi="仿宋" w:eastAsia="仿宋" w:cs="仿宋"/>
          <w:sz w:val="22"/>
          <w:u w:val="single"/>
        </w:rPr>
        <w:t>（1）向发包人及监理人报送施工组织设计、总进度计划与材料计划和向发包人提交工程进度计划及相应计划进度、统计表和应急预案为开工前7日内；（2）报送当月完成工程量报表(含工程变更及签证预算)、承包人购材料清单进度计划，以及下月 进度计划为每月25日；（3）涉及工程价款调整的申请、报告应在收到发包人通知或引起工程价款调整的事件发生之日起14天内向发包人提出；（4）发包人要求提供的其他报表根据发包人的具体要求</w:t>
      </w:r>
      <w:r>
        <w:rPr>
          <w:rFonts w:hint="eastAsia" w:ascii="仿宋" w:hAnsi="仿宋" w:eastAsia="仿宋" w:cs="仿宋"/>
          <w:sz w:val="22"/>
        </w:rPr>
        <w:t>。</w:t>
      </w:r>
    </w:p>
    <w:p w14:paraId="284071EA">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承包人提供的文件的数量为：</w:t>
      </w:r>
      <w:r>
        <w:rPr>
          <w:rFonts w:hint="eastAsia" w:ascii="仿宋" w:hAnsi="仿宋" w:eastAsia="仿宋" w:cs="仿宋"/>
          <w:sz w:val="22"/>
          <w:u w:val="single"/>
        </w:rPr>
        <w:t>上述文件书面资料不少于一式三份，如提供的份数无法满足需求，承包人需无偿另行提供，承包人需一并提供上述资料的电子版文件</w:t>
      </w:r>
      <w:r>
        <w:rPr>
          <w:rFonts w:hint="eastAsia" w:ascii="仿宋" w:hAnsi="仿宋" w:eastAsia="仿宋" w:cs="仿宋"/>
          <w:sz w:val="22"/>
        </w:rPr>
        <w:t>；</w:t>
      </w:r>
    </w:p>
    <w:p w14:paraId="4B5EF11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承包人提供的文件的形式为：</w:t>
      </w:r>
      <w:r>
        <w:rPr>
          <w:rFonts w:hint="eastAsia" w:ascii="仿宋" w:hAnsi="仿宋" w:eastAsia="仿宋" w:cs="仿宋"/>
          <w:sz w:val="22"/>
          <w:u w:val="single"/>
        </w:rPr>
        <w:t>书面形式</w:t>
      </w:r>
      <w:r>
        <w:rPr>
          <w:rFonts w:hint="eastAsia" w:ascii="仿宋" w:hAnsi="仿宋" w:eastAsia="仿宋" w:cs="仿宋"/>
          <w:sz w:val="22"/>
        </w:rPr>
        <w:t>；</w:t>
      </w:r>
    </w:p>
    <w:p w14:paraId="14545D25">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发包人审批承包人文件的期限：</w:t>
      </w:r>
      <w:r>
        <w:rPr>
          <w:rFonts w:hint="eastAsia" w:ascii="仿宋" w:hAnsi="仿宋" w:eastAsia="仿宋" w:cs="仿宋"/>
          <w:sz w:val="22"/>
          <w:u w:val="single"/>
        </w:rPr>
        <w:t xml:space="preserve">收到文件后14天 </w:t>
      </w:r>
      <w:r>
        <w:rPr>
          <w:rFonts w:hint="eastAsia" w:ascii="仿宋" w:hAnsi="仿宋" w:eastAsia="仿宋" w:cs="仿宋"/>
          <w:sz w:val="22"/>
        </w:rPr>
        <w:t>。</w:t>
      </w:r>
    </w:p>
    <w:p w14:paraId="03862119">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1.6.5 现场图纸准备</w:t>
      </w:r>
    </w:p>
    <w:p w14:paraId="4BB06897">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关于现场图纸准备的约定：</w:t>
      </w:r>
      <w:r>
        <w:rPr>
          <w:rFonts w:hint="eastAsia" w:ascii="仿宋" w:hAnsi="仿宋" w:eastAsia="仿宋" w:cs="仿宋"/>
          <w:sz w:val="22"/>
          <w:u w:val="single"/>
        </w:rPr>
        <w:t>承包人应在施工现场另外保存一套完整的图纸和承包人文件，供发包人、监理人及有关人员进行工程检查时使用；另外保存四套完整图纸用于做竣工备案资料</w:t>
      </w:r>
      <w:r>
        <w:rPr>
          <w:rFonts w:hint="eastAsia" w:ascii="仿宋" w:hAnsi="仿宋" w:eastAsia="仿宋" w:cs="仿宋"/>
          <w:sz w:val="22"/>
        </w:rPr>
        <w:t>。</w:t>
      </w:r>
    </w:p>
    <w:p w14:paraId="49A93EA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1.7 联络</w:t>
      </w:r>
    </w:p>
    <w:p w14:paraId="7CD53F5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1.7.1发包人和承包人应当在</w:t>
      </w:r>
      <w:r>
        <w:rPr>
          <w:rFonts w:hint="eastAsia" w:ascii="仿宋" w:hAnsi="仿宋" w:eastAsia="仿宋" w:cs="仿宋"/>
          <w:sz w:val="22"/>
          <w:u w:val="single"/>
        </w:rPr>
        <w:t xml:space="preserve"> 7 </w:t>
      </w:r>
      <w:r>
        <w:rPr>
          <w:rFonts w:hint="eastAsia" w:ascii="仿宋" w:hAnsi="仿宋" w:eastAsia="仿宋" w:cs="仿宋"/>
          <w:sz w:val="22"/>
        </w:rPr>
        <w:t>天内将与合同有关的通知、批准、证明、证书、指示、指令、要求、请求、书面同意、意见、确定和决定等书面函件送达对方当事人。</w:t>
      </w:r>
    </w:p>
    <w:p w14:paraId="1BEAFE8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1.7.2 发包人接收文件的地点：</w:t>
      </w:r>
      <w:r>
        <w:rPr>
          <w:rFonts w:hint="eastAsia" w:ascii="仿宋" w:hAnsi="仿宋" w:eastAsia="仿宋" w:cs="仿宋"/>
          <w:sz w:val="22"/>
          <w:u w:val="single"/>
        </w:rPr>
        <w:t xml:space="preserve"> 项目现场发包人项目部或发包人办公室 </w:t>
      </w:r>
      <w:r>
        <w:rPr>
          <w:rFonts w:hint="eastAsia" w:ascii="仿宋" w:hAnsi="仿宋" w:eastAsia="仿宋" w:cs="仿宋"/>
          <w:sz w:val="22"/>
        </w:rPr>
        <w:t>；</w:t>
      </w:r>
    </w:p>
    <w:p w14:paraId="2133AE3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发包人指定的接收人为：</w:t>
      </w:r>
      <w:r>
        <w:rPr>
          <w:rFonts w:hint="eastAsia" w:ascii="仿宋" w:hAnsi="仿宋" w:eastAsia="仿宋" w:cs="仿宋"/>
          <w:sz w:val="22"/>
          <w:u w:val="single"/>
        </w:rPr>
        <w:t xml:space="preserve"> 现场代表</w:t>
      </w:r>
      <w:r>
        <w:rPr>
          <w:rFonts w:hint="eastAsia" w:ascii="仿宋" w:hAnsi="仿宋" w:eastAsia="仿宋" w:cs="仿宋"/>
          <w:sz w:val="22"/>
        </w:rPr>
        <w:t>。</w:t>
      </w:r>
    </w:p>
    <w:p w14:paraId="56AED1F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承包人接收文件的地点：</w:t>
      </w:r>
      <w:r>
        <w:rPr>
          <w:rFonts w:hint="eastAsia" w:ascii="仿宋" w:hAnsi="仿宋" w:eastAsia="仿宋" w:cs="仿宋"/>
          <w:sz w:val="22"/>
          <w:u w:val="single"/>
        </w:rPr>
        <w:t xml:space="preserve"> 项目现场承包人项目部或承包人办公室 </w:t>
      </w:r>
      <w:r>
        <w:rPr>
          <w:rFonts w:hint="eastAsia" w:ascii="仿宋" w:hAnsi="仿宋" w:eastAsia="仿宋" w:cs="仿宋"/>
          <w:sz w:val="22"/>
        </w:rPr>
        <w:t>；</w:t>
      </w:r>
    </w:p>
    <w:p w14:paraId="0BB9B8B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承包人指定的接收人为：</w:t>
      </w:r>
      <w:r>
        <w:rPr>
          <w:rFonts w:hint="eastAsia" w:ascii="仿宋" w:hAnsi="仿宋" w:eastAsia="仿宋" w:cs="仿宋"/>
          <w:sz w:val="22"/>
          <w:u w:val="single"/>
        </w:rPr>
        <w:t xml:space="preserve">  项目经理</w:t>
      </w:r>
      <w:r>
        <w:rPr>
          <w:rFonts w:hint="eastAsia" w:ascii="仿宋" w:hAnsi="仿宋" w:eastAsia="仿宋" w:cs="仿宋"/>
          <w:sz w:val="22"/>
        </w:rPr>
        <w:t>。</w:t>
      </w:r>
    </w:p>
    <w:p w14:paraId="6EF0F37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监理人接收文件的地点：</w:t>
      </w:r>
      <w:r>
        <w:rPr>
          <w:rFonts w:hint="eastAsia" w:ascii="仿宋" w:hAnsi="仿宋" w:eastAsia="仿宋" w:cs="仿宋"/>
          <w:sz w:val="22"/>
          <w:u w:val="single"/>
        </w:rPr>
        <w:t xml:space="preserve">          </w:t>
      </w:r>
      <w:r>
        <w:rPr>
          <w:rFonts w:hint="eastAsia" w:ascii="仿宋" w:hAnsi="仿宋" w:eastAsia="仿宋" w:cs="仿宋"/>
          <w:sz w:val="22"/>
        </w:rPr>
        <w:t>；</w:t>
      </w:r>
    </w:p>
    <w:p w14:paraId="2CB9F18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监理人指定的接收人为：</w:t>
      </w:r>
      <w:r>
        <w:rPr>
          <w:rFonts w:hint="eastAsia" w:ascii="仿宋" w:hAnsi="仿宋" w:eastAsia="仿宋" w:cs="仿宋"/>
          <w:sz w:val="22"/>
          <w:u w:val="single"/>
        </w:rPr>
        <w:t xml:space="preserve">          </w:t>
      </w:r>
      <w:r>
        <w:rPr>
          <w:rFonts w:hint="eastAsia" w:ascii="仿宋" w:hAnsi="仿宋" w:eastAsia="仿宋" w:cs="仿宋"/>
          <w:sz w:val="22"/>
        </w:rPr>
        <w:t>。</w:t>
      </w:r>
    </w:p>
    <w:p w14:paraId="7473B04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1.10 交通运输</w:t>
      </w:r>
    </w:p>
    <w:p w14:paraId="153E13F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w:t>
      </w:r>
      <w:bookmarkStart w:id="216" w:name="_Toc304295521"/>
      <w:bookmarkStart w:id="217" w:name="_Toc303539100"/>
      <w:bookmarkStart w:id="218" w:name="_Toc318581155"/>
      <w:bookmarkStart w:id="219" w:name="_Toc312677986"/>
      <w:bookmarkStart w:id="220" w:name="_Toc300934943"/>
      <w:r>
        <w:rPr>
          <w:rFonts w:hint="eastAsia" w:ascii="仿宋" w:hAnsi="仿宋" w:eastAsia="仿宋" w:cs="仿宋"/>
          <w:sz w:val="22"/>
        </w:rPr>
        <w:t>.10.1 出入现场的权利</w:t>
      </w:r>
    </w:p>
    <w:p w14:paraId="098FEC7B">
      <w:pPr>
        <w:spacing w:line="400" w:lineRule="exact"/>
        <w:jc w:val="left"/>
        <w:rPr>
          <w:rFonts w:hint="eastAsia" w:ascii="仿宋" w:hAnsi="仿宋" w:eastAsia="仿宋" w:cs="仿宋"/>
          <w:sz w:val="22"/>
        </w:rPr>
      </w:pPr>
      <w:r>
        <w:rPr>
          <w:rFonts w:hint="eastAsia" w:ascii="仿宋" w:hAnsi="仿宋" w:eastAsia="仿宋" w:cs="仿宋"/>
          <w:sz w:val="22"/>
        </w:rPr>
        <w:t>关于出入现场的权利的约定：</w:t>
      </w:r>
      <w:r>
        <w:rPr>
          <w:rFonts w:hint="eastAsia" w:ascii="仿宋" w:hAnsi="仿宋" w:eastAsia="仿宋" w:cs="仿宋"/>
          <w:sz w:val="22"/>
          <w:u w:val="single"/>
        </w:rPr>
        <w:t>承包人必须遵守政府有关主管部门对进入施工场地交通的管理规定，按规定办理有关手续，承担有关费用，该费用已含在签约合同价中，承包人不得允许与项目施工无关的人员进入现场，如无关人员擅自进入现场，由此而产生的后果由承包人自行负责。</w:t>
      </w:r>
    </w:p>
    <w:bookmarkEnd w:id="216"/>
    <w:bookmarkEnd w:id="217"/>
    <w:bookmarkEnd w:id="218"/>
    <w:bookmarkEnd w:id="219"/>
    <w:bookmarkEnd w:id="220"/>
    <w:p w14:paraId="716FDBA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w:t>
      </w:r>
      <w:bookmarkStart w:id="221" w:name="_Toc312677987"/>
      <w:bookmarkStart w:id="222" w:name="_Toc303539101"/>
      <w:bookmarkStart w:id="223" w:name="_Toc300934944"/>
      <w:bookmarkStart w:id="224" w:name="_Toc304295522"/>
      <w:bookmarkStart w:id="225" w:name="_Toc318581156"/>
      <w:r>
        <w:rPr>
          <w:rFonts w:hint="eastAsia" w:ascii="仿宋" w:hAnsi="仿宋" w:eastAsia="仿宋" w:cs="仿宋"/>
          <w:sz w:val="22"/>
        </w:rPr>
        <w:t>.10.3 场内交通</w:t>
      </w:r>
    </w:p>
    <w:p w14:paraId="6B4BC0D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关于场外交通和场内交通的边界的约定：</w:t>
      </w:r>
      <w:r>
        <w:rPr>
          <w:rFonts w:hint="eastAsia" w:ascii="仿宋" w:hAnsi="仿宋" w:eastAsia="仿宋" w:cs="仿宋"/>
          <w:sz w:val="22"/>
          <w:u w:val="single"/>
        </w:rPr>
        <w:t>规划红线内为场内交通，规划红线外为场外交通</w:t>
      </w:r>
      <w:r>
        <w:rPr>
          <w:rFonts w:hint="eastAsia" w:ascii="仿宋" w:hAnsi="仿宋" w:eastAsia="仿宋" w:cs="仿宋"/>
          <w:sz w:val="22"/>
        </w:rPr>
        <w:t>。</w:t>
      </w:r>
    </w:p>
    <w:p w14:paraId="543199B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关于发包人向承包人免费提供满足工程施工需要的场内道路和交通设施的约定：</w:t>
      </w:r>
      <w:r>
        <w:rPr>
          <w:rFonts w:hint="eastAsia" w:ascii="仿宋" w:hAnsi="仿宋" w:eastAsia="仿宋" w:cs="仿宋"/>
          <w:sz w:val="22"/>
          <w:u w:val="single"/>
        </w:rPr>
        <w:t>投标前承包人应已勘察施工现场，施工过程中可能发生的此部分费用已包含在签约合同价中，发包人不再另行提供</w:t>
      </w:r>
      <w:r>
        <w:rPr>
          <w:rFonts w:hint="eastAsia" w:ascii="仿宋" w:hAnsi="仿宋" w:eastAsia="仿宋" w:cs="仿宋"/>
          <w:sz w:val="22"/>
        </w:rPr>
        <w:t>。</w:t>
      </w:r>
      <w:bookmarkEnd w:id="221"/>
      <w:bookmarkEnd w:id="222"/>
      <w:bookmarkEnd w:id="223"/>
      <w:bookmarkEnd w:id="224"/>
      <w:bookmarkEnd w:id="225"/>
      <w:bookmarkStart w:id="226" w:name="_Toc318581157"/>
    </w:p>
    <w:p w14:paraId="0DE423A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1.10.4超大件和超重件的运输</w:t>
      </w:r>
    </w:p>
    <w:p w14:paraId="0438B3C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运输超大件或超重件所需的道路和桥梁临时加固改造费用和其他有关费用由</w:t>
      </w:r>
      <w:r>
        <w:rPr>
          <w:rFonts w:hint="eastAsia" w:ascii="仿宋" w:hAnsi="仿宋" w:eastAsia="仿宋" w:cs="仿宋"/>
          <w:sz w:val="22"/>
          <w:u w:val="single"/>
        </w:rPr>
        <w:t xml:space="preserve"> 承包人 </w:t>
      </w:r>
      <w:r>
        <w:rPr>
          <w:rFonts w:hint="eastAsia" w:ascii="仿宋" w:hAnsi="仿宋" w:eastAsia="仿宋" w:cs="仿宋"/>
          <w:sz w:val="22"/>
        </w:rPr>
        <w:t>承担。</w:t>
      </w:r>
    </w:p>
    <w:bookmarkEnd w:id="226"/>
    <w:p w14:paraId="0E54D72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1.11 知识产权</w:t>
      </w:r>
    </w:p>
    <w:p w14:paraId="67CE6CB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2"/>
          <w:u w:val="single"/>
        </w:rPr>
        <w:t xml:space="preserve">归发包人所有 </w:t>
      </w:r>
      <w:r>
        <w:rPr>
          <w:rFonts w:hint="eastAsia" w:ascii="仿宋" w:hAnsi="仿宋" w:eastAsia="仿宋" w:cs="仿宋"/>
          <w:sz w:val="22"/>
        </w:rPr>
        <w:t>。</w:t>
      </w:r>
    </w:p>
    <w:p w14:paraId="752DDD94">
      <w:pPr>
        <w:adjustRightInd w:val="0"/>
        <w:snapToGrid w:val="0"/>
        <w:spacing w:line="360" w:lineRule="auto"/>
        <w:ind w:firstLine="530" w:firstLineChars="241"/>
        <w:jc w:val="left"/>
        <w:rPr>
          <w:rFonts w:hint="eastAsia" w:ascii="仿宋" w:hAnsi="仿宋" w:eastAsia="仿宋" w:cs="仿宋"/>
          <w:sz w:val="22"/>
          <w:u w:val="single"/>
        </w:rPr>
      </w:pPr>
      <w:r>
        <w:rPr>
          <w:rFonts w:hint="eastAsia" w:ascii="仿宋" w:hAnsi="仿宋" w:eastAsia="仿宋" w:cs="仿宋"/>
          <w:sz w:val="22"/>
        </w:rPr>
        <w:t>关于发包人提供的上述文件的使用限制的要求：</w:t>
      </w:r>
      <w:r>
        <w:rPr>
          <w:rFonts w:hint="eastAsia" w:ascii="仿宋" w:hAnsi="仿宋" w:eastAsia="仿宋" w:cs="仿宋"/>
          <w:sz w:val="22"/>
          <w:u w:val="single"/>
        </w:rPr>
        <w:t>承包人可以为实现合同目的而复制、使用此类文件，但不能用于与合同无关的其他事项。未经发包人书面书面同意，承包人不得为了合同以外的目的而复制、使用上述文件或将之提供给任何第三方</w:t>
      </w:r>
      <w:r>
        <w:rPr>
          <w:rFonts w:hint="eastAsia" w:ascii="仿宋" w:hAnsi="仿宋" w:eastAsia="仿宋" w:cs="仿宋"/>
          <w:sz w:val="22"/>
        </w:rPr>
        <w:t>。</w:t>
      </w:r>
    </w:p>
    <w:p w14:paraId="7B9A77F0">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1.11.2 关于承包人为实施工程所编制文件的著作权的归属：</w:t>
      </w:r>
      <w:r>
        <w:rPr>
          <w:rFonts w:hint="eastAsia" w:ascii="仿宋" w:hAnsi="仿宋" w:eastAsia="仿宋" w:cs="仿宋"/>
          <w:sz w:val="22"/>
          <w:u w:val="single"/>
        </w:rPr>
        <w:t>除署名权以外的著作权归发包人所有</w:t>
      </w:r>
      <w:r>
        <w:rPr>
          <w:rFonts w:hint="eastAsia" w:ascii="仿宋" w:hAnsi="仿宋" w:eastAsia="仿宋" w:cs="仿宋"/>
          <w:sz w:val="22"/>
        </w:rPr>
        <w:t>。</w:t>
      </w:r>
    </w:p>
    <w:p w14:paraId="6FF83815">
      <w:pPr>
        <w:adjustRightInd w:val="0"/>
        <w:snapToGrid w:val="0"/>
        <w:spacing w:line="360" w:lineRule="auto"/>
        <w:ind w:firstLine="530" w:firstLineChars="241"/>
        <w:jc w:val="left"/>
        <w:rPr>
          <w:rFonts w:hint="eastAsia" w:ascii="仿宋" w:hAnsi="仿宋" w:eastAsia="仿宋" w:cs="仿宋"/>
          <w:sz w:val="22"/>
          <w:u w:val="single"/>
        </w:rPr>
      </w:pPr>
      <w:r>
        <w:rPr>
          <w:rFonts w:hint="eastAsia" w:ascii="仿宋" w:hAnsi="仿宋" w:eastAsia="仿宋" w:cs="仿宋"/>
          <w:sz w:val="22"/>
        </w:rPr>
        <w:t>关于承包人提供的上述文件的使用限制的要求：</w:t>
      </w:r>
      <w:r>
        <w:rPr>
          <w:rFonts w:hint="eastAsia" w:ascii="仿宋" w:hAnsi="仿宋" w:eastAsia="仿宋" w:cs="仿宋"/>
          <w:sz w:val="22"/>
          <w:u w:val="single"/>
        </w:rPr>
        <w:t>承包人可因实施工程的运行、调试、维修、改造等目的而复制、使用此类文件，但不能用于与合同无关的其他事项。未经发包人书面书面同意，承包人不得为了合同以外的目的而复制、使用上述文件或将之提供给任何第三方</w:t>
      </w:r>
      <w:r>
        <w:rPr>
          <w:rFonts w:hint="eastAsia" w:ascii="仿宋" w:hAnsi="仿宋" w:eastAsia="仿宋" w:cs="仿宋"/>
          <w:sz w:val="22"/>
        </w:rPr>
        <w:t>。</w:t>
      </w:r>
    </w:p>
    <w:p w14:paraId="208C6E4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1.11.4 承包人在施工过程中所采用的专利、专有技术、技术秘密的使用费的承担方式：</w:t>
      </w:r>
      <w:r>
        <w:rPr>
          <w:rFonts w:hint="eastAsia" w:ascii="仿宋" w:hAnsi="仿宋" w:eastAsia="仿宋" w:cs="仿宋"/>
          <w:sz w:val="22"/>
          <w:u w:val="single"/>
        </w:rPr>
        <w:t>已包含在合同价中，结算不予调整。若合同变更、终止、解除，本条款依然有效。</w:t>
      </w:r>
    </w:p>
    <w:p w14:paraId="466E410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1.13工程量清单错误的修正</w:t>
      </w:r>
    </w:p>
    <w:p w14:paraId="0EC170B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出现工程量清单错误时，是否调整合同价格：</w:t>
      </w:r>
      <w:r>
        <w:rPr>
          <w:rFonts w:hint="eastAsia" w:ascii="仿宋" w:hAnsi="仿宋" w:eastAsia="仿宋" w:cs="仿宋"/>
          <w:sz w:val="22"/>
          <w:u w:val="single"/>
        </w:rPr>
        <w:t xml:space="preserve"> 调整 </w:t>
      </w:r>
      <w:r>
        <w:rPr>
          <w:rFonts w:hint="eastAsia" w:ascii="仿宋" w:hAnsi="仿宋" w:eastAsia="仿宋" w:cs="仿宋"/>
          <w:sz w:val="22"/>
        </w:rPr>
        <w:t>。</w:t>
      </w:r>
    </w:p>
    <w:p w14:paraId="2E0E587A">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允许调整合同价格的工程量偏差范围：</w:t>
      </w:r>
      <w:r>
        <w:rPr>
          <w:rFonts w:hint="eastAsia" w:ascii="仿宋" w:hAnsi="仿宋" w:eastAsia="仿宋" w:cs="仿宋"/>
          <w:sz w:val="22"/>
          <w:u w:val="single"/>
        </w:rPr>
        <w:t>（1）对承包人超出设计图纸（含设计变更）范围和因承包人原因造成返工的工程量，发包人不予计量</w:t>
      </w:r>
      <w:r>
        <w:rPr>
          <w:rFonts w:hint="eastAsia" w:ascii="仿宋" w:hAnsi="仿宋" w:eastAsia="仿宋" w:cs="仿宋"/>
          <w:sz w:val="22"/>
        </w:rPr>
        <w:t>； </w:t>
      </w:r>
    </w:p>
    <w:p w14:paraId="7765100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（2）工程量清单存在缺项、漏项的</w:t>
      </w:r>
      <w:r>
        <w:rPr>
          <w:rFonts w:hint="eastAsia" w:ascii="仿宋" w:hAnsi="仿宋" w:eastAsia="仿宋" w:cs="仿宋"/>
          <w:sz w:val="22"/>
        </w:rPr>
        <w:t>；</w:t>
      </w:r>
    </w:p>
    <w:p w14:paraId="7B255A0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（3）未按照国家现行计价规范强制性规定计量的</w:t>
      </w:r>
      <w:r>
        <w:rPr>
          <w:rFonts w:hint="eastAsia" w:ascii="仿宋" w:hAnsi="仿宋" w:eastAsia="仿宋" w:cs="仿宋"/>
          <w:sz w:val="22"/>
        </w:rPr>
        <w:t>；</w:t>
      </w:r>
    </w:p>
    <w:p w14:paraId="62FB84E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（4）当工程量清单项目工程量的</w:t>
      </w:r>
      <w:bookmarkStart w:id="227" w:name="_Toc351203634"/>
      <w:r>
        <w:rPr>
          <w:rFonts w:hint="eastAsia" w:ascii="仿宋" w:hAnsi="仿宋" w:eastAsia="仿宋" w:cs="仿宋"/>
          <w:sz w:val="22"/>
          <w:u w:val="single"/>
        </w:rPr>
        <w:t>偏差超过15%时，其综合单价以及对应的措施费（如有）可进行调整，由承包人对增加的工程量或减少后剩余的工程量提出新的综合单价和措施项目费，经发包人书面确定后调整</w:t>
      </w:r>
      <w:r>
        <w:rPr>
          <w:rFonts w:hint="eastAsia" w:ascii="仿宋" w:hAnsi="仿宋" w:eastAsia="仿宋" w:cs="仿宋"/>
          <w:sz w:val="22"/>
        </w:rPr>
        <w:t xml:space="preserve">。           </w:t>
      </w:r>
    </w:p>
    <w:p w14:paraId="66265AF9">
      <w:pPr>
        <w:adjustRightInd w:val="0"/>
        <w:snapToGrid w:val="0"/>
        <w:spacing w:line="360" w:lineRule="auto"/>
        <w:ind w:firstLine="442" w:firstLineChars="200"/>
        <w:jc w:val="left"/>
        <w:rPr>
          <w:rFonts w:hint="eastAsia" w:ascii="仿宋" w:hAnsi="仿宋" w:eastAsia="仿宋" w:cs="仿宋"/>
          <w:b/>
          <w:sz w:val="22"/>
        </w:rPr>
      </w:pPr>
      <w:r>
        <w:rPr>
          <w:rFonts w:hint="eastAsia" w:ascii="仿宋" w:hAnsi="仿宋" w:eastAsia="仿宋" w:cs="仿宋"/>
          <w:b/>
          <w:sz w:val="22"/>
        </w:rPr>
        <w:t>2</w:t>
      </w:r>
      <w:bookmarkStart w:id="228" w:name="_Toc292559362"/>
      <w:bookmarkStart w:id="229" w:name="_Toc292559867"/>
      <w:bookmarkStart w:id="230" w:name="_Toc296944496"/>
      <w:bookmarkStart w:id="231" w:name="_Toc296347156"/>
      <w:bookmarkStart w:id="232" w:name="_Toc296891197"/>
      <w:bookmarkStart w:id="233" w:name="_Toc296503157"/>
      <w:bookmarkStart w:id="234" w:name="_Toc296346658"/>
      <w:bookmarkStart w:id="235" w:name="_Toc297048343"/>
      <w:bookmarkStart w:id="236" w:name="_Toc297120457"/>
      <w:bookmarkStart w:id="237" w:name="_Toc296890985"/>
      <w:r>
        <w:rPr>
          <w:rFonts w:hint="eastAsia" w:ascii="仿宋" w:hAnsi="仿宋" w:eastAsia="仿宋" w:cs="仿宋"/>
          <w:b/>
          <w:sz w:val="22"/>
        </w:rPr>
        <w:t>. 发包人</w:t>
      </w:r>
      <w:bookmarkEnd w:id="227"/>
    </w:p>
    <w:bookmarkEnd w:id="228"/>
    <w:bookmarkEnd w:id="229"/>
    <w:bookmarkEnd w:id="230"/>
    <w:bookmarkEnd w:id="231"/>
    <w:bookmarkEnd w:id="232"/>
    <w:bookmarkEnd w:id="233"/>
    <w:bookmarkEnd w:id="234"/>
    <w:bookmarkEnd w:id="235"/>
    <w:bookmarkEnd w:id="236"/>
    <w:bookmarkEnd w:id="237"/>
    <w:p w14:paraId="687CE01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2.2 发包人代表</w:t>
      </w:r>
    </w:p>
    <w:p w14:paraId="19AEBAB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发包人代表：</w:t>
      </w:r>
    </w:p>
    <w:p w14:paraId="5F3CB8F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姓    名：</w:t>
      </w:r>
      <w:r>
        <w:rPr>
          <w:rFonts w:hint="eastAsia" w:ascii="仿宋" w:hAnsi="仿宋" w:eastAsia="仿宋" w:cs="仿宋"/>
          <w:sz w:val="22"/>
          <w:u w:val="single"/>
        </w:rPr>
        <w:t xml:space="preserve">                    </w:t>
      </w:r>
      <w:r>
        <w:rPr>
          <w:rFonts w:hint="eastAsia" w:ascii="仿宋" w:hAnsi="仿宋" w:eastAsia="仿宋" w:cs="仿宋"/>
          <w:sz w:val="22"/>
        </w:rPr>
        <w:t xml:space="preserve"> ；</w:t>
      </w:r>
    </w:p>
    <w:p w14:paraId="3790E36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身份证号：</w:t>
      </w:r>
      <w:r>
        <w:rPr>
          <w:rFonts w:hint="eastAsia" w:ascii="仿宋" w:hAnsi="仿宋" w:eastAsia="仿宋" w:cs="仿宋"/>
          <w:sz w:val="22"/>
          <w:u w:val="single"/>
        </w:rPr>
        <w:t xml:space="preserve">                     </w:t>
      </w:r>
      <w:r>
        <w:rPr>
          <w:rFonts w:hint="eastAsia" w:ascii="仿宋" w:hAnsi="仿宋" w:eastAsia="仿宋" w:cs="仿宋"/>
          <w:sz w:val="22"/>
        </w:rPr>
        <w:t>；</w:t>
      </w:r>
    </w:p>
    <w:p w14:paraId="4C71A49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职    务：</w:t>
      </w:r>
      <w:r>
        <w:rPr>
          <w:rFonts w:hint="eastAsia" w:ascii="仿宋" w:hAnsi="仿宋" w:eastAsia="仿宋" w:cs="仿宋"/>
          <w:sz w:val="22"/>
          <w:u w:val="single"/>
        </w:rPr>
        <w:t xml:space="preserve">                     </w:t>
      </w:r>
      <w:r>
        <w:rPr>
          <w:rFonts w:hint="eastAsia" w:ascii="仿宋" w:hAnsi="仿宋" w:eastAsia="仿宋" w:cs="仿宋"/>
          <w:sz w:val="22"/>
        </w:rPr>
        <w:t>；</w:t>
      </w:r>
    </w:p>
    <w:p w14:paraId="3EC30B9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 xml:space="preserve">                     </w:t>
      </w:r>
      <w:r>
        <w:rPr>
          <w:rFonts w:hint="eastAsia" w:ascii="仿宋" w:hAnsi="仿宋" w:eastAsia="仿宋" w:cs="仿宋"/>
          <w:sz w:val="22"/>
        </w:rPr>
        <w:t>；</w:t>
      </w:r>
    </w:p>
    <w:p w14:paraId="5BA0938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电子信箱：</w:t>
      </w:r>
      <w:r>
        <w:rPr>
          <w:rFonts w:hint="eastAsia" w:ascii="仿宋" w:hAnsi="仿宋" w:eastAsia="仿宋" w:cs="仿宋"/>
          <w:sz w:val="22"/>
          <w:u w:val="single"/>
        </w:rPr>
        <w:t xml:space="preserve">                     </w:t>
      </w:r>
      <w:r>
        <w:rPr>
          <w:rFonts w:hint="eastAsia" w:ascii="仿宋" w:hAnsi="仿宋" w:eastAsia="仿宋" w:cs="仿宋"/>
          <w:sz w:val="22"/>
        </w:rPr>
        <w:t>；</w:t>
      </w:r>
    </w:p>
    <w:p w14:paraId="3A4926B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通信地址：</w:t>
      </w:r>
      <w:r>
        <w:rPr>
          <w:rFonts w:hint="eastAsia" w:ascii="仿宋" w:hAnsi="仿宋" w:eastAsia="仿宋" w:cs="仿宋"/>
          <w:sz w:val="22"/>
          <w:u w:val="single"/>
        </w:rPr>
        <w:t xml:space="preserve">                      </w:t>
      </w:r>
      <w:r>
        <w:rPr>
          <w:rFonts w:hint="eastAsia" w:ascii="仿宋" w:hAnsi="仿宋" w:eastAsia="仿宋" w:cs="仿宋"/>
          <w:sz w:val="22"/>
        </w:rPr>
        <w:t>。</w:t>
      </w:r>
    </w:p>
    <w:p w14:paraId="235F37E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发包人对发包人代表的授权范围如下：</w:t>
      </w:r>
      <w:r>
        <w:rPr>
          <w:rFonts w:hint="eastAsia" w:ascii="仿宋" w:hAnsi="仿宋" w:eastAsia="仿宋" w:cs="仿宋"/>
          <w:sz w:val="22"/>
          <w:u w:val="single"/>
        </w:rPr>
        <w:t>（1）确认承包人提出的顺延工期的签证；（2）对发生的不可抗力造成工程无法施工的处置；（3）设计变更及施工条件变更等有关签证的确认；（4）主持工程验收；（5）处理和协调外部施工条件；（6）代表发包人行使本合同约定的其它权利和义务。以上事项除发包人代表书面确认外还需加盖发包人公章。</w:t>
      </w:r>
    </w:p>
    <w:p w14:paraId="16F0C20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2.4 施工现场、施工条件和基础资料的提供</w:t>
      </w:r>
    </w:p>
    <w:p w14:paraId="2D50855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2.4.1 提供施工现场</w:t>
      </w:r>
    </w:p>
    <w:p w14:paraId="0517818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关于发包人移交施工现场的期限要求：</w:t>
      </w:r>
      <w:r>
        <w:rPr>
          <w:rFonts w:hint="eastAsia" w:ascii="仿宋" w:hAnsi="仿宋" w:eastAsia="仿宋" w:cs="仿宋"/>
          <w:sz w:val="22"/>
          <w:u w:val="single"/>
        </w:rPr>
        <w:t>开工日期7天前。场地移交可以全部或分段移交，以基本满足本工程合同总工期，各节点施工工期为前提；所移交的场地能基本满足施工要求</w:t>
      </w:r>
      <w:r>
        <w:rPr>
          <w:rFonts w:hint="eastAsia" w:ascii="仿宋" w:hAnsi="仿宋" w:eastAsia="仿宋" w:cs="仿宋"/>
          <w:sz w:val="22"/>
        </w:rPr>
        <w:t>。</w:t>
      </w:r>
    </w:p>
    <w:p w14:paraId="71D07FE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2.4.2 提供施工条件</w:t>
      </w:r>
    </w:p>
    <w:p w14:paraId="66C8217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关于发包人应负责提供施工所需要的条件，包括：</w:t>
      </w:r>
    </w:p>
    <w:p w14:paraId="26B92DB3">
      <w:pPr>
        <w:adjustRightInd w:val="0"/>
        <w:snapToGrid w:val="0"/>
        <w:spacing w:line="360" w:lineRule="auto"/>
        <w:ind w:firstLine="480"/>
        <w:jc w:val="left"/>
        <w:rPr>
          <w:rFonts w:hint="eastAsia" w:ascii="仿宋" w:hAnsi="仿宋" w:eastAsia="仿宋" w:cs="仿宋"/>
          <w:sz w:val="22"/>
        </w:rPr>
      </w:pPr>
      <w:r>
        <w:rPr>
          <w:rFonts w:hint="eastAsia" w:ascii="仿宋" w:hAnsi="仿宋" w:eastAsia="仿宋" w:cs="仿宋"/>
          <w:sz w:val="22"/>
          <w:u w:val="single"/>
        </w:rPr>
        <w:t>（1）发包人负责提供电源接口 (或已按图纸明确)，承包人负责接入施工现场，并自行设置分电源箱，单独装表计量。从发包人提供的电源至施工用电设备的线路铺设及电气设备安装均由承包人负责实施，其安装费、线路购置费等所需费用，无论承包人是否在投标报价中单独列支列示，发包人均认为此项费用已包含在签约合同价中，不再另行支付。结算时，发包人将按照施工同期供电部门的价格和中标人的实际用电量扣回电费（含线路损耗）。当总电表计量值与各分表的累计值不一致时，以总表数值为准，各分表使用人应当按分表计量值的比例分担该差额部分。同时施工中发包人不考虑正常施工条件下，因用电原因（如需自发电或电容量不够）而给乙方的任何额外补偿。电力传输线和配电设施必须符合国家及南京市关于电力安装、使用及维修的有关规定，承包人对电力传输线和配电设施的设计、安装、维修和管理负责，并确保其安全可靠</w:t>
      </w:r>
      <w:r>
        <w:rPr>
          <w:rFonts w:hint="eastAsia" w:ascii="仿宋" w:hAnsi="仿宋" w:eastAsia="仿宋" w:cs="仿宋"/>
          <w:sz w:val="22"/>
        </w:rPr>
        <w:t>。</w:t>
      </w:r>
    </w:p>
    <w:p w14:paraId="291AE07B">
      <w:pPr>
        <w:adjustRightInd w:val="0"/>
        <w:snapToGrid w:val="0"/>
        <w:spacing w:line="360" w:lineRule="auto"/>
        <w:ind w:firstLine="480"/>
        <w:jc w:val="left"/>
        <w:rPr>
          <w:rFonts w:hint="eastAsia" w:ascii="仿宋" w:hAnsi="仿宋" w:eastAsia="仿宋" w:cs="仿宋"/>
          <w:sz w:val="22"/>
        </w:rPr>
      </w:pPr>
      <w:r>
        <w:rPr>
          <w:rFonts w:hint="eastAsia" w:ascii="仿宋" w:hAnsi="仿宋" w:eastAsia="仿宋" w:cs="仿宋"/>
          <w:sz w:val="22"/>
          <w:u w:val="single"/>
        </w:rPr>
        <w:t>（2）发包人负责提供总水源接口 (已按图纸明确)，承包人负责接入施工现场，并由本工程承包人单独装表计量。从水源接口至施工各用水点的管路安装、布置由承包人负责实施，其安装费、管材购置费，无论承包人是否在投标报价中单独列支，发包人均认为此项费用已包含在签约合同价中，不再另行支付。结算时，发包人将按照施工同期供水部门的价格和承包人的实际用水数量扣回用水费用（含线路损耗）。当总水表计量值与各分水表的累计值不一致时，以总表数值为准，各分表使用人应当按分表计量值的比例分担该差额部分。供水管路及用水设施必须符合国家及南京市关于自来水安装、使用及维修的有关规定，承包人对所有供水设施的设计、安装、维修和管理负责，并确保其安全可靠</w:t>
      </w:r>
      <w:r>
        <w:rPr>
          <w:rFonts w:hint="eastAsia" w:ascii="仿宋" w:hAnsi="仿宋" w:eastAsia="仿宋" w:cs="仿宋"/>
          <w:sz w:val="22"/>
        </w:rPr>
        <w:t>。</w:t>
      </w:r>
    </w:p>
    <w:p w14:paraId="072287D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（3）施工场地与规划红线内公共道路以承包人投标前踏勘的场地条件为准，发包人对此将不增加任何投入。承包人已充分考虑该因素，相关费用包含在签约合同价中，不得以此为理由延误进场施工</w:t>
      </w:r>
      <w:r>
        <w:rPr>
          <w:rFonts w:hint="eastAsia" w:ascii="仿宋" w:hAnsi="仿宋" w:eastAsia="仿宋" w:cs="仿宋"/>
          <w:sz w:val="22"/>
        </w:rPr>
        <w:t>。</w:t>
      </w:r>
    </w:p>
    <w:p w14:paraId="52C2A6BD">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协调处理施工场地周围地下管线和邻近建筑物、构筑物（含文物保护建筑）、古树名木的保护工作，由发包人委托并会同承包人及有关部门共同做好保护工作，承包人在施工过程中应确保施工范围内及周边文物和树木的安全，同时应及时向监理和发包人报告并提出解决方案以供决策，保护费用由发包人承担，但因承包人责任或因处理不及时而造成损失的，其损失费用由承包人承担。如发包人发现承包人在施工过程中相关保护工作不到位或形成隐患，发包人有权要求承包人进行整改，直至符合要求；如承包人拒不整改或整改后仍未达到要求，发包人将委托有经验的承包商对上述文物及树木进行保护，由此产生的一切额外费用由承包人承担，并按有关规定向承包人索赔；造成重大破坏的，将上报相关主管部门进行处罚。因承包人责任或因处理不及时原因造成的工期延误等相关违约责任由承包人承担 </w:t>
      </w:r>
      <w:r>
        <w:rPr>
          <w:rFonts w:hint="eastAsia" w:ascii="仿宋" w:hAnsi="仿宋" w:eastAsia="仿宋" w:cs="仿宋"/>
          <w:sz w:val="22"/>
        </w:rPr>
        <w:t>。</w:t>
      </w:r>
    </w:p>
    <w:p w14:paraId="108373C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2.5 资金来源证明及支付担保</w:t>
      </w:r>
    </w:p>
    <w:p w14:paraId="1DFC9DD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发包人提供资金来源证明的期限要求：</w:t>
      </w:r>
      <w:r>
        <w:rPr>
          <w:rFonts w:hint="eastAsia" w:ascii="仿宋" w:hAnsi="仿宋" w:eastAsia="仿宋" w:cs="仿宋"/>
          <w:sz w:val="22"/>
          <w:u w:val="single"/>
        </w:rPr>
        <w:t xml:space="preserve">/   </w:t>
      </w:r>
      <w:r>
        <w:rPr>
          <w:rFonts w:hint="eastAsia" w:ascii="仿宋" w:hAnsi="仿宋" w:eastAsia="仿宋" w:cs="仿宋"/>
          <w:sz w:val="22"/>
        </w:rPr>
        <w:t>。</w:t>
      </w:r>
    </w:p>
    <w:p w14:paraId="7F3F013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发包人是否提供支付担保：</w:t>
      </w:r>
      <w:r>
        <w:rPr>
          <w:rFonts w:hint="eastAsia" w:ascii="仿宋" w:hAnsi="仿宋" w:eastAsia="仿宋" w:cs="仿宋"/>
          <w:sz w:val="22"/>
          <w:u w:val="single"/>
        </w:rPr>
        <w:t xml:space="preserve">  /   </w:t>
      </w:r>
      <w:r>
        <w:rPr>
          <w:rFonts w:hint="eastAsia" w:ascii="仿宋" w:hAnsi="仿宋" w:eastAsia="仿宋" w:cs="仿宋"/>
          <w:sz w:val="22"/>
        </w:rPr>
        <w:t>。</w:t>
      </w:r>
    </w:p>
    <w:p w14:paraId="2F1E6DD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发包人提供支付担保的形式：</w:t>
      </w:r>
      <w:r>
        <w:rPr>
          <w:rFonts w:hint="eastAsia" w:ascii="仿宋" w:hAnsi="仿宋" w:eastAsia="仿宋" w:cs="仿宋"/>
          <w:sz w:val="22"/>
          <w:u w:val="single"/>
        </w:rPr>
        <w:t xml:space="preserve">  /  </w:t>
      </w:r>
      <w:r>
        <w:rPr>
          <w:rFonts w:hint="eastAsia" w:ascii="仿宋" w:hAnsi="仿宋" w:eastAsia="仿宋" w:cs="仿宋"/>
          <w:sz w:val="22"/>
        </w:rPr>
        <w:t>。</w:t>
      </w:r>
    </w:p>
    <w:p w14:paraId="3D691A23">
      <w:pPr>
        <w:pStyle w:val="5"/>
        <w:keepNext w:val="0"/>
        <w:adjustRightInd w:val="0"/>
        <w:snapToGrid w:val="0"/>
        <w:spacing w:line="360" w:lineRule="auto"/>
        <w:jc w:val="left"/>
        <w:rPr>
          <w:rFonts w:hint="eastAsia" w:ascii="仿宋" w:hAnsi="仿宋" w:eastAsia="仿宋" w:cs="仿宋"/>
          <w:b/>
          <w:color w:val="auto"/>
          <w:sz w:val="22"/>
          <w:szCs w:val="24"/>
        </w:rPr>
      </w:pPr>
      <w:bookmarkStart w:id="238" w:name="_Toc351203635"/>
      <w:r>
        <w:rPr>
          <w:rFonts w:hint="eastAsia" w:ascii="仿宋" w:hAnsi="仿宋" w:eastAsia="仿宋" w:cs="仿宋"/>
          <w:b/>
          <w:color w:val="auto"/>
          <w:sz w:val="22"/>
          <w:szCs w:val="24"/>
        </w:rPr>
        <w:t>3</w:t>
      </w:r>
      <w:bookmarkStart w:id="239" w:name="_Toc296944497"/>
      <w:bookmarkStart w:id="240" w:name="_Toc297120458"/>
      <w:bookmarkStart w:id="241" w:name="_Toc296890986"/>
      <w:bookmarkStart w:id="242" w:name="_Toc296347157"/>
      <w:bookmarkStart w:id="243" w:name="_Toc296346659"/>
      <w:bookmarkStart w:id="244" w:name="_Toc292559868"/>
      <w:bookmarkStart w:id="245" w:name="_Toc296503158"/>
      <w:bookmarkStart w:id="246" w:name="_Toc297048344"/>
      <w:bookmarkStart w:id="247" w:name="_Toc296891198"/>
      <w:bookmarkStart w:id="248" w:name="_Toc292559363"/>
      <w:r>
        <w:rPr>
          <w:rFonts w:hint="eastAsia" w:ascii="仿宋" w:hAnsi="仿宋" w:eastAsia="仿宋" w:cs="仿宋"/>
          <w:b/>
          <w:color w:val="auto"/>
          <w:sz w:val="22"/>
          <w:szCs w:val="24"/>
        </w:rPr>
        <w:t>. 承包人</w:t>
      </w:r>
      <w:bookmarkEnd w:id="238"/>
    </w:p>
    <w:bookmarkEnd w:id="239"/>
    <w:bookmarkEnd w:id="240"/>
    <w:bookmarkEnd w:id="241"/>
    <w:bookmarkEnd w:id="242"/>
    <w:bookmarkEnd w:id="243"/>
    <w:bookmarkEnd w:id="244"/>
    <w:bookmarkEnd w:id="245"/>
    <w:bookmarkEnd w:id="246"/>
    <w:bookmarkEnd w:id="247"/>
    <w:bookmarkEnd w:id="248"/>
    <w:p w14:paraId="041C97A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3.1 承包人的一般义务</w:t>
      </w:r>
    </w:p>
    <w:p w14:paraId="57F344A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（5）承包人提交的竣工资料的内容：</w:t>
      </w:r>
      <w:r>
        <w:rPr>
          <w:rFonts w:hint="eastAsia" w:ascii="仿宋" w:hAnsi="仿宋" w:eastAsia="仿宋" w:cs="仿宋"/>
          <w:sz w:val="22"/>
          <w:u w:val="single"/>
        </w:rPr>
        <w:t>工程竣工报告、施工技术档案和施工管理资料、产品质量证明文件、施工质量试验资料、施工质量检测资料、施工记录、工程安全和功能检验资料备查及主要功能抽查记录、竣工图等，具体按国家有关规定和要求提供</w:t>
      </w:r>
      <w:r>
        <w:rPr>
          <w:rFonts w:hint="eastAsia" w:ascii="仿宋" w:hAnsi="仿宋" w:eastAsia="仿宋" w:cs="仿宋"/>
          <w:sz w:val="22"/>
        </w:rPr>
        <w:t>。 </w:t>
      </w:r>
    </w:p>
    <w:p w14:paraId="2A9C8F3C">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承包人提供竣工图的约定：Auto CAD计算软件绘制的反映各类变更和工程实际状况的竣工图4份，光盘2份</w:t>
      </w:r>
      <w:r>
        <w:rPr>
          <w:rFonts w:hint="eastAsia" w:ascii="仿宋" w:hAnsi="仿宋" w:eastAsia="仿宋" w:cs="仿宋"/>
          <w:sz w:val="22"/>
        </w:rPr>
        <w:t>。</w:t>
      </w:r>
    </w:p>
    <w:p w14:paraId="532FB3D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承包人需要提交的竣工资料套数：</w:t>
      </w:r>
      <w:r>
        <w:rPr>
          <w:rFonts w:hint="eastAsia" w:ascii="仿宋" w:hAnsi="仿宋" w:eastAsia="仿宋" w:cs="仿宋"/>
          <w:sz w:val="22"/>
          <w:u w:val="single"/>
        </w:rPr>
        <w:t xml:space="preserve"> 6套（含原件壹套）</w:t>
      </w:r>
      <w:r>
        <w:rPr>
          <w:rFonts w:hint="eastAsia" w:ascii="仿宋" w:hAnsi="仿宋" w:eastAsia="仿宋" w:cs="仿宋"/>
          <w:sz w:val="22"/>
        </w:rPr>
        <w:t>。</w:t>
      </w:r>
    </w:p>
    <w:p w14:paraId="6813C83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承包人提交的竣工资料的费用承担：</w:t>
      </w:r>
      <w:r>
        <w:rPr>
          <w:rFonts w:hint="eastAsia" w:ascii="仿宋" w:hAnsi="仿宋" w:eastAsia="仿宋" w:cs="仿宋"/>
          <w:sz w:val="22"/>
          <w:u w:val="single"/>
        </w:rPr>
        <w:t xml:space="preserve"> 由承包人自行承担，包含在签约合同价内，结算时不予调整</w:t>
      </w:r>
      <w:r>
        <w:rPr>
          <w:rFonts w:hint="eastAsia" w:ascii="仿宋" w:hAnsi="仿宋" w:eastAsia="仿宋" w:cs="仿宋"/>
          <w:sz w:val="22"/>
        </w:rPr>
        <w:t>。</w:t>
      </w:r>
    </w:p>
    <w:p w14:paraId="59F43F1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承包人提交的竣工资料移交时间：</w:t>
      </w:r>
      <w:r>
        <w:rPr>
          <w:rFonts w:hint="eastAsia" w:ascii="仿宋" w:hAnsi="仿宋" w:eastAsia="仿宋" w:cs="仿宋"/>
          <w:sz w:val="22"/>
          <w:u w:val="single"/>
        </w:rPr>
        <w:t>与竣工验收申请报告同时提交。工程竣工验收合格后，承包人应在28天内向发包人递交竣工结算报告和完整的结算资料</w:t>
      </w:r>
      <w:r>
        <w:rPr>
          <w:rFonts w:hint="eastAsia" w:ascii="仿宋" w:hAnsi="仿宋" w:eastAsia="仿宋" w:cs="仿宋"/>
          <w:sz w:val="22"/>
        </w:rPr>
        <w:t>。</w:t>
      </w:r>
    </w:p>
    <w:p w14:paraId="0A254B2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承包人提交的竣工资料形式要求：</w:t>
      </w:r>
      <w:r>
        <w:rPr>
          <w:rFonts w:hint="eastAsia" w:ascii="仿宋" w:hAnsi="仿宋" w:eastAsia="仿宋" w:cs="仿宋"/>
          <w:sz w:val="22"/>
          <w:u w:val="single"/>
        </w:rPr>
        <w:t>以书面形式提交并提供电子版</w:t>
      </w:r>
      <w:r>
        <w:rPr>
          <w:rFonts w:hint="eastAsia" w:ascii="仿宋" w:hAnsi="仿宋" w:eastAsia="仿宋" w:cs="仿宋"/>
          <w:sz w:val="22"/>
        </w:rPr>
        <w:t xml:space="preserve">。  </w:t>
      </w:r>
    </w:p>
    <w:p w14:paraId="53C0929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承包人提交的竣工资料形式要求：</w:t>
      </w:r>
      <w:r>
        <w:rPr>
          <w:rFonts w:hint="eastAsia" w:ascii="仿宋" w:hAnsi="仿宋" w:eastAsia="仿宋" w:cs="仿宋"/>
          <w:sz w:val="22"/>
          <w:u w:val="single"/>
        </w:rPr>
        <w:t xml:space="preserve">纸质件（盖章、签字）和电子件 </w:t>
      </w:r>
      <w:r>
        <w:rPr>
          <w:rFonts w:hint="eastAsia" w:ascii="仿宋" w:hAnsi="仿宋" w:eastAsia="仿宋" w:cs="仿宋"/>
          <w:sz w:val="22"/>
        </w:rPr>
        <w:t>。</w:t>
      </w:r>
    </w:p>
    <w:p w14:paraId="1DC4CE5A">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（6）承包人应履行的其他义务：</w:t>
      </w:r>
      <w:r>
        <w:rPr>
          <w:rFonts w:hint="eastAsia" w:ascii="仿宋" w:hAnsi="仿宋" w:eastAsia="仿宋" w:cs="仿宋"/>
          <w:sz w:val="22"/>
          <w:u w:val="single"/>
        </w:rPr>
        <w:t>1）承包人应建立健全的雇员工资发放和劳动保障制度，符合《保障农民工工资支付条例》的规定。如因雇员的工资发放和劳动保障制度不健全而引发纠纷，发包人有权中止履行合同并要求承包人退场，并有权在承包人工程款中扣除相应款项，采取相应措施解决纠纷</w:t>
      </w:r>
      <w:r>
        <w:rPr>
          <w:rFonts w:hint="eastAsia" w:ascii="仿宋" w:hAnsi="仿宋" w:eastAsia="仿宋" w:cs="仿宋"/>
          <w:sz w:val="22"/>
        </w:rPr>
        <w:t>。 </w:t>
      </w:r>
    </w:p>
    <w:p w14:paraId="222D133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2）需由承包人完成的设计文件提交时间：合同签订后15日内</w:t>
      </w:r>
      <w:r>
        <w:rPr>
          <w:rFonts w:hint="eastAsia" w:ascii="仿宋" w:hAnsi="仿宋" w:eastAsia="仿宋" w:cs="仿宋"/>
          <w:sz w:val="22"/>
        </w:rPr>
        <w:t>。</w:t>
      </w:r>
    </w:p>
    <w:p w14:paraId="3646C12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3）关于工程施工过程中决议、指令的执行：</w:t>
      </w:r>
    </w:p>
    <w:p w14:paraId="536CDA6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①发包人/监理人发出的会议纪要中的决议部分，承包人应将其视为指令执行，如对决议内容有异议，应在收到会议纪要24小时内向发包人/监理人提出书面意见</w:t>
      </w:r>
      <w:r>
        <w:rPr>
          <w:rFonts w:hint="eastAsia" w:ascii="仿宋" w:hAnsi="仿宋" w:eastAsia="仿宋" w:cs="仿宋"/>
          <w:sz w:val="22"/>
        </w:rPr>
        <w:t>。</w:t>
      </w:r>
    </w:p>
    <w:p w14:paraId="12033DB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②承包人应按发包人的指令，完成发包人要求的对工程内容的任何增加和删减。除非该设计变更属结构性重大变动，同时也符合价款调整的相关条款之规定，否则所有设计变更均不得作为延长工期的理由</w:t>
      </w:r>
      <w:r>
        <w:rPr>
          <w:rFonts w:hint="eastAsia" w:ascii="仿宋" w:hAnsi="仿宋" w:eastAsia="仿宋" w:cs="仿宋"/>
          <w:sz w:val="22"/>
        </w:rPr>
        <w:t>。</w:t>
      </w:r>
    </w:p>
    <w:p w14:paraId="21646ED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承包人应积极主动核对图纸中的标高、轴线等技术数据，备查施工图纸，充分理解设计意图。积极配合发包人组织的施工图纸交底及会审工作，指出图纸上任何不符合相关规范以及明显不合理之处。否则,承包人承担工期延误和经济损失责任。发包人（包括监理人）不正确的指令，承包人发现后有书面告知义务，否则造成工程质量、安全、进度损失，也不能免除承包人的责任</w:t>
      </w:r>
      <w:r>
        <w:rPr>
          <w:rFonts w:hint="eastAsia" w:ascii="仿宋" w:hAnsi="仿宋" w:eastAsia="仿宋" w:cs="仿宋"/>
          <w:sz w:val="22"/>
        </w:rPr>
        <w:t>。</w:t>
      </w:r>
    </w:p>
    <w:p w14:paraId="24FC757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承包人应按发包人要求完成工程造价控制目标，并如实进行结算申报，不得高估冒算。若承包人申报的结算经最终审计，核减额超过申报额一定限额，发包人有权认定承包人未如实进行结算申报，承办人按以下方式承担违约金：违约金＝核减额×（10%~15%）+审计费，该违约金直接在审定价中扣除</w:t>
      </w:r>
      <w:r>
        <w:rPr>
          <w:rFonts w:hint="eastAsia" w:ascii="仿宋" w:hAnsi="仿宋" w:eastAsia="仿宋" w:cs="仿宋"/>
          <w:sz w:val="22"/>
        </w:rPr>
        <w:t>。</w:t>
      </w:r>
    </w:p>
    <w:p w14:paraId="0432FD6C">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A、当核减额超过申报额10%，不到15%（不含15%）时，违约金＝核减额×10%+发包人支付的所有审计费。</w:t>
      </w:r>
    </w:p>
    <w:p w14:paraId="3330CBA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B、当核减额超过申报额15%及以上时，违约金＝核减额×15%+发包人支付的所有审计费。</w:t>
      </w:r>
    </w:p>
    <w:p w14:paraId="7200F6E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6）关于检测、检验、试验：</w:t>
      </w:r>
    </w:p>
    <w:p w14:paraId="2A0D72E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所有材料和设备（不含新结构、新材料），按规范及政府职能部门要求进行常规、非常规检验试验费（不含对构件“如：幕墙、预制桩、门窗”做破坏性试验的第三方试验费用）以及承包人配合或实施检测、检验、试验的成本，均由承包人承担，发包人指定检测单位，此项费用已综合在签约合同价中。如检测、检验、试验结果为不合格，则承包人须进行整改，直至结果合格。整改所发生的一切直接费用、间接费用及再次复检的费用以及因整改导致的全部损失均由承包人承担。</w:t>
      </w:r>
    </w:p>
    <w:p w14:paraId="60FD15F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②甲供材的进场质量须由承包人进行把关，如遇因质量不合格材料的使用而引起的返工所造成的费用损失及工期延误由承包人负责。</w:t>
      </w:r>
    </w:p>
    <w:p w14:paraId="684000E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③工程各分部分项一次检测不合格，承包人除承担返工费用外，还需承担后续检测费用以及因延期交付给发包人造成的直接和间接损失的相关费用。</w:t>
      </w:r>
    </w:p>
    <w:p w14:paraId="7A6FF19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7）关于周边环境关系的协调：</w:t>
      </w:r>
    </w:p>
    <w:p w14:paraId="33940CD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①承包人必须积极配合发包人的相关宣传报道、形象展示行为。承包人若以任何名义作任何关于该项目的宣传报道，须事先经发包人书面同意。</w:t>
      </w:r>
    </w:p>
    <w:p w14:paraId="51BE606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承包人在施工及维修期间应注意从各方面维护自身及工程现场形象，如果有被媒体曝光或者被其它第三方投诉至行政主管部门（包括媒体），承包人应及时采取积极措施消除影响。承包人有被媒体曝光或被投诉的，发包人将视为承包人违约，媒体曝光或投诉一次，违约金不低于20000元人民币，若媒体曝光或投诉给发包人造成损害的，每次违约金不低于40000元人民币，</w:t>
      </w:r>
      <w:r>
        <w:rPr>
          <w:rFonts w:hint="eastAsia" w:ascii="仿宋" w:hAnsi="仿宋" w:eastAsia="仿宋" w:cs="仿宋"/>
          <w:sz w:val="22"/>
          <w:szCs w:val="32"/>
          <w:u w:val="single"/>
        </w:rPr>
        <w:t>若违约金不足以弥补发包人的损失，承包人应当补足</w:t>
      </w:r>
      <w:r>
        <w:rPr>
          <w:rFonts w:hint="eastAsia" w:ascii="仿宋" w:hAnsi="仿宋" w:eastAsia="仿宋" w:cs="仿宋"/>
          <w:sz w:val="22"/>
        </w:rPr>
        <w:t>。</w:t>
      </w:r>
    </w:p>
    <w:p w14:paraId="0F858C1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8）发包人单独发包或发包人与承包人共同发包的专业工程，承包人对专业工程承包人的管理、协调内容包括承包人必须负责管理整个施工现场、安全文明施工、质量控制、工程进度控制、界面管理、提供轴线和标高和竣工验收以及资料汇编管理等。承包人对专业工程承包人的配合服务内容包括为专业工程承包人提供施工中的配合与服务、施工和生活用水电接口、现有的脚手架和垂直运输机械的使用、施工现场道路和场地的使用等</w:t>
      </w:r>
      <w:r>
        <w:rPr>
          <w:rFonts w:hint="eastAsia" w:ascii="仿宋" w:hAnsi="仿宋" w:eastAsia="仿宋" w:cs="仿宋"/>
          <w:sz w:val="22"/>
        </w:rPr>
        <w:t>。</w:t>
      </w:r>
    </w:p>
    <w:p w14:paraId="115C101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①总承包服务费：</w:t>
      </w:r>
    </w:p>
    <w:p w14:paraId="13E1417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以暂估价形式入本合同签约价的专业工程，总承包服务费按不同专业工程的总承包服务费投标费率计取，承包人投标时已将总承包管理与施工配合服务费以专业工程暂估价为基数计人投标报价中。工程结算时扣除（投标报价中）此款，承包人按此费率以专业工程造价（不含主要的大型设备费）为基数向专业工程承包人直接收取。专业工程造价以实际结算审定价款（不含主要的大型设备费，甲供材，如电梯等）为准</w:t>
      </w:r>
      <w:r>
        <w:rPr>
          <w:rFonts w:hint="eastAsia" w:ascii="仿宋" w:hAnsi="仿宋" w:eastAsia="仿宋" w:cs="仿宋"/>
          <w:sz w:val="22"/>
        </w:rPr>
        <w:t>。</w:t>
      </w:r>
    </w:p>
    <w:p w14:paraId="4399D55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发包人单独发包并纳入总承包管理服务范围的专业工程，总承包服务费按发包人确认的专业工程造价的2%计取，工程结算时费率不变，专业工程造价以实际结算审定价款（不含主要的大型设备费，甲供材，如电梯等）为准。总包合同价中不包含此项费用，由总承包人向专业工程承包人直接收取</w:t>
      </w:r>
      <w:r>
        <w:rPr>
          <w:rFonts w:hint="eastAsia" w:ascii="仿宋" w:hAnsi="仿宋" w:eastAsia="仿宋" w:cs="仿宋"/>
          <w:sz w:val="22"/>
        </w:rPr>
        <w:t>。</w:t>
      </w:r>
    </w:p>
    <w:p w14:paraId="7F9A334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②专业工程承包人与总承包人的施工协调与配合的内容：/</w:t>
      </w:r>
    </w:p>
    <w:p w14:paraId="59AE58B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③总承包人应负责办理工程竣工备案等相关手续</w:t>
      </w:r>
      <w:r>
        <w:rPr>
          <w:rFonts w:hint="eastAsia" w:ascii="仿宋" w:hAnsi="仿宋" w:eastAsia="仿宋" w:cs="仿宋"/>
          <w:sz w:val="22"/>
        </w:rPr>
        <w:t xml:space="preserve">。  </w:t>
      </w:r>
    </w:p>
    <w:p w14:paraId="108DBB7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3.2 项目经理</w:t>
      </w:r>
    </w:p>
    <w:p w14:paraId="285EC34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3.2.1 项目经理：</w:t>
      </w:r>
    </w:p>
    <w:p w14:paraId="5675D02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姓    名：</w:t>
      </w:r>
      <w:r>
        <w:rPr>
          <w:rFonts w:hint="eastAsia" w:ascii="仿宋" w:hAnsi="仿宋" w:eastAsia="仿宋" w:cs="仿宋"/>
          <w:sz w:val="22"/>
          <w:u w:val="single"/>
        </w:rPr>
        <w:t xml:space="preserve">                                 </w:t>
      </w:r>
      <w:r>
        <w:rPr>
          <w:rFonts w:hint="eastAsia" w:ascii="仿宋" w:hAnsi="仿宋" w:eastAsia="仿宋" w:cs="仿宋"/>
          <w:sz w:val="22"/>
        </w:rPr>
        <w:t>；</w:t>
      </w:r>
    </w:p>
    <w:p w14:paraId="00BF812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身份证号：</w:t>
      </w:r>
      <w:r>
        <w:rPr>
          <w:rFonts w:hint="eastAsia" w:ascii="仿宋" w:hAnsi="仿宋" w:eastAsia="仿宋" w:cs="仿宋"/>
          <w:sz w:val="22"/>
          <w:u w:val="single"/>
        </w:rPr>
        <w:t xml:space="preserve">                                </w:t>
      </w:r>
      <w:r>
        <w:rPr>
          <w:rFonts w:hint="eastAsia" w:ascii="仿宋" w:hAnsi="仿宋" w:eastAsia="仿宋" w:cs="仿宋"/>
          <w:sz w:val="22"/>
        </w:rPr>
        <w:t>；</w:t>
      </w:r>
    </w:p>
    <w:p w14:paraId="4DCB4B6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建造师执业资格等级：</w:t>
      </w:r>
      <w:r>
        <w:rPr>
          <w:rStyle w:val="287"/>
          <w:rFonts w:hint="eastAsia" w:ascii="仿宋" w:hAnsi="仿宋" w:eastAsia="仿宋" w:cs="仿宋"/>
          <w:sz w:val="22"/>
        </w:rPr>
        <w:t xml:space="preserve">                      </w:t>
      </w:r>
      <w:r>
        <w:rPr>
          <w:rFonts w:hint="eastAsia" w:ascii="仿宋" w:hAnsi="仿宋" w:eastAsia="仿宋" w:cs="仿宋"/>
          <w:sz w:val="22"/>
        </w:rPr>
        <w:t>；</w:t>
      </w:r>
    </w:p>
    <w:p w14:paraId="0B178C4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建造师注册证书号：</w:t>
      </w:r>
      <w:r>
        <w:rPr>
          <w:rStyle w:val="287"/>
          <w:rFonts w:hint="eastAsia" w:ascii="仿宋" w:hAnsi="仿宋" w:eastAsia="仿宋" w:cs="仿宋"/>
          <w:sz w:val="22"/>
        </w:rPr>
        <w:t xml:space="preserve">                        </w:t>
      </w:r>
      <w:r>
        <w:rPr>
          <w:rFonts w:hint="eastAsia" w:ascii="仿宋" w:hAnsi="仿宋" w:eastAsia="仿宋" w:cs="仿宋"/>
          <w:sz w:val="22"/>
        </w:rPr>
        <w:t>；</w:t>
      </w:r>
    </w:p>
    <w:p w14:paraId="216D3C0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建造师执业印章号：</w:t>
      </w:r>
      <w:r>
        <w:rPr>
          <w:rStyle w:val="287"/>
          <w:rFonts w:hint="eastAsia" w:ascii="仿宋" w:hAnsi="仿宋" w:eastAsia="仿宋" w:cs="仿宋"/>
          <w:sz w:val="22"/>
        </w:rPr>
        <w:t xml:space="preserve">                        </w:t>
      </w:r>
      <w:r>
        <w:rPr>
          <w:rFonts w:hint="eastAsia" w:ascii="仿宋" w:hAnsi="仿宋" w:eastAsia="仿宋" w:cs="仿宋"/>
          <w:sz w:val="22"/>
        </w:rPr>
        <w:t>；</w:t>
      </w:r>
    </w:p>
    <w:p w14:paraId="76A5009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安全生产考核合格证书号：</w:t>
      </w:r>
      <w:r>
        <w:rPr>
          <w:rFonts w:hint="eastAsia" w:ascii="仿宋" w:hAnsi="仿宋" w:eastAsia="仿宋" w:cs="仿宋"/>
          <w:sz w:val="22"/>
          <w:u w:val="single"/>
        </w:rPr>
        <w:t xml:space="preserve">                  </w:t>
      </w:r>
      <w:r>
        <w:rPr>
          <w:rFonts w:hint="eastAsia" w:ascii="仿宋" w:hAnsi="仿宋" w:eastAsia="仿宋" w:cs="仿宋"/>
          <w:sz w:val="22"/>
        </w:rPr>
        <w:t>；</w:t>
      </w:r>
    </w:p>
    <w:p w14:paraId="3315244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 xml:space="preserve">                                </w:t>
      </w:r>
      <w:r>
        <w:rPr>
          <w:rFonts w:hint="eastAsia" w:ascii="仿宋" w:hAnsi="仿宋" w:eastAsia="仿宋" w:cs="仿宋"/>
          <w:sz w:val="22"/>
        </w:rPr>
        <w:t>；</w:t>
      </w:r>
    </w:p>
    <w:p w14:paraId="4D1CCBD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电子信箱：</w:t>
      </w:r>
      <w:r>
        <w:rPr>
          <w:rFonts w:hint="eastAsia" w:ascii="仿宋" w:hAnsi="仿宋" w:eastAsia="仿宋" w:cs="仿宋"/>
          <w:sz w:val="22"/>
          <w:u w:val="single"/>
        </w:rPr>
        <w:t xml:space="preserve">                                </w:t>
      </w:r>
      <w:r>
        <w:rPr>
          <w:rFonts w:hint="eastAsia" w:ascii="仿宋" w:hAnsi="仿宋" w:eastAsia="仿宋" w:cs="仿宋"/>
          <w:sz w:val="22"/>
        </w:rPr>
        <w:t>；</w:t>
      </w:r>
    </w:p>
    <w:p w14:paraId="64C41AF1">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通信地址：</w:t>
      </w:r>
      <w:r>
        <w:rPr>
          <w:rFonts w:hint="eastAsia" w:ascii="仿宋" w:hAnsi="仿宋" w:eastAsia="仿宋" w:cs="仿宋"/>
          <w:sz w:val="22"/>
          <w:u w:val="single"/>
        </w:rPr>
        <w:t xml:space="preserve">                                </w:t>
      </w:r>
      <w:r>
        <w:rPr>
          <w:rFonts w:hint="eastAsia" w:ascii="仿宋" w:hAnsi="仿宋" w:eastAsia="仿宋" w:cs="仿宋"/>
          <w:sz w:val="22"/>
        </w:rPr>
        <w:t>；</w:t>
      </w:r>
    </w:p>
    <w:p w14:paraId="524A7FB8">
      <w:pPr>
        <w:pStyle w:val="41"/>
        <w:adjustRightInd w:val="0"/>
        <w:snapToGrid w:val="0"/>
        <w:spacing w:line="360" w:lineRule="auto"/>
        <w:rPr>
          <w:kern w:val="2"/>
          <w:sz w:val="22"/>
          <w:u w:val="single"/>
        </w:rPr>
      </w:pPr>
      <w:r>
        <w:rPr>
          <w:rFonts w:hint="eastAsia" w:ascii="仿宋" w:hAnsi="仿宋" w:eastAsia="仿宋" w:cs="仿宋"/>
          <w:sz w:val="22"/>
        </w:rPr>
        <w:t xml:space="preserve">    承包人对项目经理的授权范围如下：</w:t>
      </w:r>
      <w:r>
        <w:rPr>
          <w:rFonts w:hint="eastAsia" w:ascii="仿宋" w:hAnsi="仿宋" w:eastAsia="仿宋" w:cs="仿宋"/>
          <w:sz w:val="22"/>
          <w:u w:val="single"/>
        </w:rPr>
        <w:t>代表承包人履行合同。按合同约定组织工程实施；在合同约定范围内主持承包人有关施工、技术、工程进度、现场管理、安全生产、质量检验、竣工交付、结算等方面工作</w:t>
      </w:r>
      <w:r>
        <w:rPr>
          <w:rFonts w:ascii="Calibri" w:hAnsi="Calibri" w:eastAsia="仿宋" w:cs="Calibri"/>
          <w:sz w:val="22"/>
          <w:u w:val="single"/>
        </w:rPr>
        <w:t> </w:t>
      </w:r>
      <w:r>
        <w:rPr>
          <w:rFonts w:hint="eastAsia" w:ascii="仿宋" w:hAnsi="仿宋" w:eastAsia="仿宋" w:cs="仿宋"/>
          <w:sz w:val="22"/>
          <w:u w:val="single"/>
        </w:rPr>
        <w:t>。</w:t>
      </w:r>
    </w:p>
    <w:p w14:paraId="0F128C77">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8"/>
          <w:szCs w:val="32"/>
        </w:rPr>
        <w:t xml:space="preserve">    </w:t>
      </w:r>
      <w:r>
        <w:rPr>
          <w:rStyle w:val="285"/>
          <w:rFonts w:hint="eastAsia" w:ascii="仿宋" w:hAnsi="仿宋" w:eastAsia="仿宋" w:cs="仿宋"/>
          <w:sz w:val="22"/>
          <w:szCs w:val="22"/>
        </w:rPr>
        <w:t>关于项目经理每月在施工现场的时间要求：</w:t>
      </w:r>
      <w:r>
        <w:rPr>
          <w:rStyle w:val="287"/>
          <w:rFonts w:hint="eastAsia" w:ascii="仿宋" w:hAnsi="仿宋" w:eastAsia="仿宋" w:cs="仿宋"/>
          <w:sz w:val="22"/>
          <w:szCs w:val="22"/>
        </w:rPr>
        <w:t>每天不少于8小时，每周不少于5天，如有夜间施工的情况，项目经理必须全程在施工现场。</w:t>
      </w:r>
    </w:p>
    <w:p w14:paraId="55A363CE">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承包人未提交劳动合同，以及没有为项目经理缴纳社会保险证明的违约责任：</w:t>
      </w:r>
      <w:r>
        <w:rPr>
          <w:rStyle w:val="287"/>
          <w:rFonts w:hint="eastAsia" w:ascii="仿宋" w:hAnsi="仿宋" w:eastAsia="仿宋" w:cs="仿宋"/>
          <w:sz w:val="22"/>
          <w:szCs w:val="22"/>
        </w:rPr>
        <w:t xml:space="preserve"> 一经发现，</w:t>
      </w:r>
      <w:r>
        <w:rPr>
          <w:rFonts w:hint="eastAsia" w:ascii="仿宋" w:hAnsi="仿宋" w:eastAsia="仿宋" w:cs="仿宋"/>
          <w:sz w:val="22"/>
          <w:szCs w:val="22"/>
          <w:u w:val="single"/>
        </w:rPr>
        <w:t>承包人需支付违约金</w:t>
      </w:r>
      <w:r>
        <w:rPr>
          <w:rStyle w:val="287"/>
          <w:rFonts w:hint="eastAsia" w:ascii="仿宋" w:hAnsi="仿宋" w:eastAsia="仿宋" w:cs="仿宋"/>
          <w:sz w:val="22"/>
          <w:szCs w:val="22"/>
        </w:rPr>
        <w:t>500元，并要求在一周内签订劳动合同和缴纳社会保险，如未履行，每延迟一天，承包人需支付违约金1000元 。</w:t>
      </w:r>
    </w:p>
    <w:p w14:paraId="7838C6F9">
      <w:pPr>
        <w:pStyle w:val="41"/>
        <w:adjustRightInd w:val="0"/>
        <w:snapToGrid w:val="0"/>
        <w:spacing w:line="360" w:lineRule="auto"/>
        <w:rPr>
          <w:rStyle w:val="287"/>
          <w:rFonts w:hint="eastAsia" w:ascii="仿宋" w:hAnsi="仿宋" w:eastAsia="仿宋" w:cs="仿宋"/>
          <w:sz w:val="22"/>
          <w:szCs w:val="22"/>
        </w:rPr>
      </w:pPr>
      <w:r>
        <w:rPr>
          <w:rStyle w:val="285"/>
          <w:rFonts w:hint="eastAsia" w:ascii="仿宋" w:hAnsi="仿宋" w:eastAsia="仿宋" w:cs="仿宋"/>
          <w:sz w:val="22"/>
          <w:szCs w:val="22"/>
        </w:rPr>
        <w:t xml:space="preserve">    项目经理未经批准，擅自离开施工现场的违约责任：</w:t>
      </w:r>
      <w:r>
        <w:rPr>
          <w:rStyle w:val="287"/>
          <w:rFonts w:hint="eastAsia" w:ascii="仿宋" w:hAnsi="仿宋" w:eastAsia="仿宋" w:cs="仿宋"/>
          <w:sz w:val="22"/>
          <w:szCs w:val="22"/>
        </w:rPr>
        <w:t>发包人每发现1次处违约金1000元/天，可从工程款中扣抵，超过10次发包人有权解除合同，</w:t>
      </w:r>
      <w:r>
        <w:rPr>
          <w:rFonts w:hint="eastAsia" w:ascii="仿宋" w:hAnsi="仿宋" w:eastAsia="仿宋" w:cs="仿宋"/>
          <w:sz w:val="22"/>
          <w:szCs w:val="22"/>
          <w:u w:val="single"/>
        </w:rPr>
        <w:t>在本合同解除后，承包人必须在5天内无条件退场，承包人每延迟一天退场，须承担5000元违约金；超过15天未退场的发包人有权强制退场，承包人必须承担由此而给发包人造成所有损失的赔偿责任。同时，承包人应妥善做好已完工程和工程设备、甲供材料的保护和移交工作并配合发包人做好己完工程量和现场设备、材料的统计和登记工作</w:t>
      </w:r>
      <w:r>
        <w:rPr>
          <w:rStyle w:val="287"/>
          <w:rFonts w:hint="eastAsia" w:ascii="仿宋" w:hAnsi="仿宋" w:eastAsia="仿宋" w:cs="仿宋"/>
          <w:sz w:val="22"/>
          <w:szCs w:val="22"/>
        </w:rPr>
        <w:t xml:space="preserve">。 </w:t>
      </w:r>
    </w:p>
    <w:p w14:paraId="3536494D">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3.2.3 承包人擅自更换项目经理的违约责任：</w:t>
      </w:r>
      <w:r>
        <w:rPr>
          <w:rStyle w:val="287"/>
          <w:rFonts w:hint="eastAsia" w:ascii="仿宋" w:hAnsi="仿宋" w:eastAsia="仿宋" w:cs="仿宋"/>
          <w:sz w:val="22"/>
          <w:szCs w:val="22"/>
        </w:rPr>
        <w:t xml:space="preserve"> 处违约金1万元并保留解除合同的权利；项目经理因刑事犯罪、伤病丧失工作能力等确属不能履行职责需要变更的，须经监理工程师和发包人批准更换，其接替人员的注册执业资格、能力不得低于被替换人员，经发包人确认变更的，每变更1次处违约金5000元，从工程款中直接扣抵。</w:t>
      </w:r>
    </w:p>
    <w:p w14:paraId="7EA6D8C6">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3.2.4 承包人无正当理由拒绝更换项目经理的违约责任：</w:t>
      </w:r>
      <w:r>
        <w:rPr>
          <w:rFonts w:hint="eastAsia" w:ascii="仿宋" w:hAnsi="仿宋" w:eastAsia="仿宋" w:cs="仿宋"/>
          <w:sz w:val="22"/>
          <w:szCs w:val="22"/>
          <w:u w:val="single"/>
        </w:rPr>
        <w:t>逾期更换的，每逾期1天，承包人需支付1万元违约金。逾期超过7天的，发包人有权解除本合同</w:t>
      </w:r>
      <w:r>
        <w:rPr>
          <w:rStyle w:val="287"/>
          <w:rFonts w:hint="eastAsia" w:ascii="仿宋" w:hAnsi="仿宋" w:eastAsia="仿宋" w:cs="仿宋"/>
          <w:sz w:val="22"/>
          <w:szCs w:val="22"/>
        </w:rPr>
        <w:t>。合同解除后七天内若承包人不完成退场，发包人有权清场</w:t>
      </w:r>
      <w:r>
        <w:rPr>
          <w:rFonts w:hint="eastAsia" w:ascii="仿宋" w:hAnsi="仿宋" w:eastAsia="仿宋" w:cs="仿宋"/>
          <w:sz w:val="22"/>
          <w:szCs w:val="22"/>
        </w:rPr>
        <w:t>。</w:t>
      </w:r>
      <w:r>
        <w:rPr>
          <w:rFonts w:hint="eastAsia" w:ascii="仿宋" w:hAnsi="仿宋" w:eastAsia="仿宋" w:cs="仿宋"/>
          <w:sz w:val="22"/>
          <w:szCs w:val="22"/>
          <w:u w:val="single"/>
        </w:rPr>
        <w:t>承包人必须承担由此而给发包人造成所有损失的赔偿责任。</w:t>
      </w:r>
    </w:p>
    <w:p w14:paraId="61D720E9">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3.3 承包人人员</w:t>
      </w:r>
    </w:p>
    <w:p w14:paraId="15166396">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3.3.1 承包人提交项目管理机构及施工现场管理人员安排报告的期限：</w:t>
      </w:r>
      <w:r>
        <w:rPr>
          <w:rStyle w:val="287"/>
          <w:rFonts w:hint="eastAsia" w:ascii="仿宋" w:hAnsi="仿宋" w:eastAsia="仿宋" w:cs="仿宋"/>
          <w:sz w:val="22"/>
          <w:szCs w:val="22"/>
        </w:rPr>
        <w:t>接到开工通知后7天内。</w:t>
      </w:r>
    </w:p>
    <w:p w14:paraId="16F73C46">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3.3.3 承包人无正当理由拒绝撤换主要施工管理人员的违约责任：</w:t>
      </w:r>
      <w:r>
        <w:rPr>
          <w:rStyle w:val="287"/>
          <w:rFonts w:hint="eastAsia" w:ascii="仿宋" w:hAnsi="仿宋" w:eastAsia="仿宋" w:cs="仿宋"/>
          <w:sz w:val="22"/>
          <w:szCs w:val="22"/>
        </w:rPr>
        <w:t>每次每人每拖延一天处违约金1000元，从工程款中直接扣抵</w:t>
      </w:r>
      <w:r>
        <w:rPr>
          <w:rStyle w:val="285"/>
          <w:rFonts w:hint="eastAsia" w:ascii="仿宋" w:hAnsi="仿宋" w:eastAsia="仿宋" w:cs="仿宋"/>
          <w:sz w:val="22"/>
          <w:szCs w:val="22"/>
        </w:rPr>
        <w:t>。</w:t>
      </w:r>
    </w:p>
    <w:p w14:paraId="25D0078C">
      <w:pPr>
        <w:pStyle w:val="41"/>
        <w:adjustRightInd w:val="0"/>
        <w:snapToGrid w:val="0"/>
        <w:spacing w:line="360" w:lineRule="auto"/>
        <w:rPr>
          <w:rFonts w:hint="eastAsia" w:ascii="仿宋" w:hAnsi="仿宋" w:eastAsia="仿宋" w:cs="仿宋"/>
          <w:sz w:val="22"/>
          <w:szCs w:val="22"/>
        </w:rPr>
      </w:pPr>
      <w:r>
        <w:rPr>
          <w:rStyle w:val="285"/>
          <w:rFonts w:hint="eastAsia" w:ascii="仿宋" w:hAnsi="仿宋" w:eastAsia="仿宋" w:cs="仿宋"/>
          <w:sz w:val="22"/>
          <w:szCs w:val="22"/>
        </w:rPr>
        <w:t xml:space="preserve">    3.3.4 承包人主要施工管理人员离开施工现场的批准要求：</w:t>
      </w:r>
      <w:r>
        <w:rPr>
          <w:rStyle w:val="285"/>
          <w:rFonts w:hint="eastAsia" w:ascii="仿宋" w:hAnsi="仿宋" w:eastAsia="仿宋" w:cs="仿宋"/>
          <w:sz w:val="22"/>
          <w:szCs w:val="22"/>
          <w:u w:val="single"/>
        </w:rPr>
        <w:t>承包人的主要施工管理人员离开施工现场每月累计不超过5天的，应报监理人书面同意；离开施工现场每月累计超过5天的，应通知监理人，并征得发包人书面书面同意。主要施工管理人员离开施工现场前应指定一名有经验的人员临时代行其职责，该人员应具备履行相应职责的资格和能力，且应征得监理人或发包人的书面书面同意</w:t>
      </w:r>
      <w:r>
        <w:rPr>
          <w:rStyle w:val="287"/>
          <w:rFonts w:hint="eastAsia" w:ascii="仿宋" w:hAnsi="仿宋" w:eastAsia="仿宋" w:cs="仿宋"/>
          <w:sz w:val="22"/>
          <w:szCs w:val="22"/>
        </w:rPr>
        <w:t>。</w:t>
      </w:r>
    </w:p>
    <w:p w14:paraId="38BE4F9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3.3.5承包人擅自更换主要施工管理人员的违约责任：</w:t>
      </w:r>
      <w:r>
        <w:rPr>
          <w:rStyle w:val="287"/>
          <w:rFonts w:hint="eastAsia" w:ascii="仿宋" w:hAnsi="仿宋" w:eastAsia="仿宋" w:cs="仿宋"/>
          <w:sz w:val="22"/>
        </w:rPr>
        <w:t>每次每人每天处违约金1000元，从工程款中直接扣抵</w:t>
      </w:r>
      <w:r>
        <w:rPr>
          <w:rFonts w:hint="eastAsia" w:ascii="仿宋" w:hAnsi="仿宋" w:eastAsia="仿宋" w:cs="仿宋"/>
          <w:sz w:val="22"/>
          <w:u w:val="single"/>
        </w:rPr>
        <w:t>，并追究由此给发包人带来的一切损失</w:t>
      </w:r>
      <w:r>
        <w:rPr>
          <w:rStyle w:val="287"/>
          <w:rFonts w:hint="eastAsia" w:ascii="仿宋" w:hAnsi="仿宋" w:eastAsia="仿宋" w:cs="仿宋"/>
          <w:sz w:val="22"/>
        </w:rPr>
        <w:t>。同时</w:t>
      </w:r>
      <w:r>
        <w:rPr>
          <w:rFonts w:hint="eastAsia" w:ascii="仿宋" w:hAnsi="仿宋" w:eastAsia="仿宋" w:cs="仿宋"/>
          <w:sz w:val="22"/>
          <w:u w:val="single"/>
        </w:rPr>
        <w:t>发包人保留解除合同的权利</w:t>
      </w:r>
      <w:r>
        <w:rPr>
          <w:rFonts w:hint="eastAsia" w:ascii="仿宋" w:hAnsi="仿宋" w:eastAsia="仿宋" w:cs="仿宋"/>
          <w:sz w:val="22"/>
        </w:rPr>
        <w:t>。</w:t>
      </w:r>
    </w:p>
    <w:p w14:paraId="7800238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承包人主要施工管理人员擅自离开施工现场的违约责任：</w:t>
      </w:r>
      <w:r>
        <w:rPr>
          <w:rStyle w:val="287"/>
          <w:rFonts w:hint="eastAsia" w:ascii="仿宋" w:hAnsi="仿宋" w:eastAsia="仿宋" w:cs="仿宋"/>
          <w:sz w:val="22"/>
        </w:rPr>
        <w:t>每次每人每天处违约金1000元，从工程款中直接扣抵，</w:t>
      </w:r>
      <w:r>
        <w:rPr>
          <w:rFonts w:hint="eastAsia" w:ascii="仿宋" w:hAnsi="仿宋" w:eastAsia="仿宋" w:cs="仿宋"/>
          <w:sz w:val="22"/>
          <w:u w:val="single"/>
        </w:rPr>
        <w:t>并追究由此给发包人带来的一切损失</w:t>
      </w:r>
      <w:r>
        <w:rPr>
          <w:rStyle w:val="287"/>
          <w:rFonts w:hint="eastAsia" w:ascii="仿宋" w:hAnsi="仿宋" w:eastAsia="仿宋" w:cs="仿宋"/>
          <w:sz w:val="22"/>
        </w:rPr>
        <w:t>。同时发包人保留解除合同的权利</w:t>
      </w:r>
      <w:r>
        <w:rPr>
          <w:rFonts w:hint="eastAsia" w:ascii="仿宋" w:hAnsi="仿宋" w:eastAsia="仿宋" w:cs="仿宋"/>
          <w:sz w:val="22"/>
        </w:rPr>
        <w:t>。</w:t>
      </w:r>
    </w:p>
    <w:p w14:paraId="385EE8E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w:t>
      </w:r>
      <w:bookmarkStart w:id="249" w:name="_Toc312677988"/>
      <w:bookmarkStart w:id="250" w:name="_Toc297123492"/>
      <w:bookmarkStart w:id="251" w:name="_Toc304295523"/>
      <w:bookmarkStart w:id="252" w:name="_Toc303539102"/>
      <w:bookmarkStart w:id="253" w:name="_Toc296347158"/>
      <w:bookmarkStart w:id="254" w:name="_Toc296891199"/>
      <w:bookmarkStart w:id="255" w:name="_Toc297048345"/>
      <w:bookmarkStart w:id="256" w:name="_Toc296503159"/>
      <w:bookmarkStart w:id="257" w:name="_Toc296890987"/>
      <w:bookmarkStart w:id="258" w:name="_Toc300934945"/>
      <w:bookmarkStart w:id="259" w:name="_Toc296944498"/>
      <w:bookmarkStart w:id="260" w:name="_Toc297216151"/>
      <w:bookmarkStart w:id="261" w:name="_Toc292559869"/>
      <w:bookmarkStart w:id="262" w:name="_Toc292559364"/>
      <w:bookmarkStart w:id="263" w:name="_Toc296346660"/>
      <w:bookmarkStart w:id="264" w:name="_Toc297120459"/>
      <w:r>
        <w:rPr>
          <w:rFonts w:hint="eastAsia" w:ascii="仿宋" w:hAnsi="仿宋" w:eastAsia="仿宋" w:cs="仿宋"/>
          <w:sz w:val="22"/>
        </w:rPr>
        <w:t>.5 分包</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14:paraId="2C1A96A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w:t>
      </w:r>
      <w:bookmarkStart w:id="265" w:name="_Toc297048346"/>
      <w:bookmarkStart w:id="266" w:name="_Toc296347159"/>
      <w:bookmarkStart w:id="267" w:name="_Toc296944499"/>
      <w:bookmarkStart w:id="268" w:name="_Toc296503160"/>
      <w:bookmarkStart w:id="269" w:name="_Toc296891200"/>
      <w:bookmarkStart w:id="270" w:name="_Toc300934946"/>
      <w:bookmarkStart w:id="271" w:name="_Toc296346661"/>
      <w:bookmarkStart w:id="272" w:name="_Toc297123493"/>
      <w:bookmarkStart w:id="273" w:name="_Toc297216152"/>
      <w:bookmarkStart w:id="274" w:name="_Toc292559365"/>
      <w:bookmarkStart w:id="275" w:name="_Toc296890988"/>
      <w:bookmarkStart w:id="276" w:name="_Toc292559870"/>
      <w:bookmarkStart w:id="277" w:name="_Toc297120460"/>
      <w:bookmarkStart w:id="278" w:name="_Toc304295524"/>
      <w:bookmarkStart w:id="279" w:name="_Toc303539103"/>
      <w:bookmarkStart w:id="280" w:name="_Toc312677989"/>
      <w:bookmarkStart w:id="281" w:name="_Toc318581158"/>
      <w:r>
        <w:rPr>
          <w:rFonts w:hint="eastAsia" w:ascii="仿宋" w:hAnsi="仿宋" w:eastAsia="仿宋" w:cs="仿宋"/>
          <w:sz w:val="22"/>
        </w:rPr>
        <w:t>.5.1 分包的一般约定</w:t>
      </w:r>
    </w:p>
    <w:p w14:paraId="1312543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禁止分包的工程包括：</w:t>
      </w:r>
      <w:r>
        <w:rPr>
          <w:rFonts w:hint="eastAsia" w:ascii="仿宋" w:hAnsi="仿宋" w:eastAsia="仿宋" w:cs="仿宋"/>
          <w:sz w:val="22"/>
          <w:u w:val="single"/>
        </w:rPr>
        <w:t>主体结构、关键性工作</w:t>
      </w:r>
      <w:r>
        <w:rPr>
          <w:rFonts w:hint="eastAsia" w:ascii="仿宋" w:hAnsi="仿宋" w:eastAsia="仿宋" w:cs="仿宋"/>
          <w:sz w:val="22"/>
        </w:rPr>
        <w:t>。</w:t>
      </w:r>
    </w:p>
    <w:p w14:paraId="4136A49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主体结构、关键性工作的范围：</w:t>
      </w:r>
      <w:r>
        <w:rPr>
          <w:rFonts w:hint="eastAsia" w:ascii="仿宋" w:hAnsi="仿宋" w:eastAsia="仿宋" w:cs="仿宋"/>
          <w:sz w:val="22"/>
          <w:u w:val="single"/>
        </w:rPr>
        <w:t>本协议约定的所有施工内容</w:t>
      </w:r>
      <w:r>
        <w:rPr>
          <w:rFonts w:hint="eastAsia" w:ascii="仿宋" w:hAnsi="仿宋" w:eastAsia="仿宋" w:cs="仿宋"/>
          <w:sz w:val="22"/>
        </w:rPr>
        <w: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Start w:id="282" w:name="_Toc297048347"/>
      <w:bookmarkStart w:id="283" w:name="_Toc296347160"/>
      <w:bookmarkStart w:id="284" w:name="_Toc297120461"/>
      <w:bookmarkStart w:id="285" w:name="_Toc297216153"/>
      <w:bookmarkStart w:id="286" w:name="_Toc296890989"/>
      <w:bookmarkStart w:id="287" w:name="_Toc297123494"/>
      <w:bookmarkStart w:id="288" w:name="_Toc296346662"/>
      <w:bookmarkStart w:id="289" w:name="_Toc296944500"/>
      <w:bookmarkStart w:id="290" w:name="_Toc303539104"/>
      <w:bookmarkStart w:id="291" w:name="_Toc300934947"/>
      <w:bookmarkStart w:id="292" w:name="_Toc296891201"/>
      <w:bookmarkStart w:id="293" w:name="_Toc296503161"/>
      <w:bookmarkStart w:id="294" w:name="_Toc304295525"/>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68560FEC">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3</w:t>
      </w:r>
      <w:bookmarkStart w:id="295" w:name="_Toc312677990"/>
      <w:bookmarkStart w:id="296" w:name="_Toc318581159"/>
      <w:r>
        <w:rPr>
          <w:rFonts w:hint="eastAsia" w:ascii="仿宋" w:hAnsi="仿宋" w:eastAsia="仿宋" w:cs="仿宋"/>
          <w:sz w:val="22"/>
        </w:rPr>
        <w:t>.5.2分包的确定</w:t>
      </w:r>
    </w:p>
    <w:p w14:paraId="48ADB85C">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允许分包的专业工程包括：</w:t>
      </w:r>
      <w:r>
        <w:rPr>
          <w:rFonts w:hint="eastAsia" w:ascii="仿宋" w:hAnsi="仿宋" w:eastAsia="仿宋" w:cs="仿宋"/>
          <w:sz w:val="22"/>
          <w:u w:val="single"/>
        </w:rPr>
        <w:t>非主体结构、关键性工作但未经发包人书面书面同意，承包人不得擅自分包</w:t>
      </w:r>
      <w:r>
        <w:rPr>
          <w:rFonts w:hint="eastAsia" w:ascii="仿宋" w:hAnsi="仿宋" w:eastAsia="仿宋" w:cs="仿宋"/>
          <w:sz w:val="22"/>
        </w:rPr>
        <w:t>。</w:t>
      </w:r>
    </w:p>
    <w:p w14:paraId="4B868347">
      <w:pPr>
        <w:pStyle w:val="41"/>
        <w:adjustRightInd w:val="0"/>
        <w:snapToGrid w:val="0"/>
        <w:spacing w:line="360" w:lineRule="auto"/>
        <w:ind w:firstLine="480"/>
        <w:rPr>
          <w:rStyle w:val="285"/>
          <w:rFonts w:hint="eastAsia" w:ascii="仿宋" w:hAnsi="仿宋" w:eastAsia="仿宋" w:cs="仿宋"/>
          <w:sz w:val="28"/>
          <w:szCs w:val="32"/>
        </w:rPr>
      </w:pPr>
      <w:r>
        <w:rPr>
          <w:rFonts w:hint="eastAsia" w:ascii="仿宋" w:hAnsi="仿宋" w:eastAsia="仿宋" w:cs="仿宋"/>
          <w:sz w:val="22"/>
        </w:rPr>
        <w:t>其他关于分包的约定：</w:t>
      </w:r>
      <w:r>
        <w:rPr>
          <w:rFonts w:hint="eastAsia" w:ascii="仿宋" w:hAnsi="仿宋" w:eastAsia="仿宋" w:cs="仿宋"/>
          <w:kern w:val="2"/>
          <w:sz w:val="22"/>
          <w:u w:val="single"/>
        </w:rPr>
        <w:t>（1）分包人具有相应的资质和能力，工程分包不减轻或免除承包人的责任和义务，承包人和分包人就分包工程向发包人承担连带责任。</w:t>
      </w:r>
    </w:p>
    <w:p w14:paraId="02671D2E">
      <w:pPr>
        <w:adjustRightInd w:val="0"/>
        <w:snapToGrid w:val="0"/>
        <w:spacing w:line="360" w:lineRule="auto"/>
        <w:ind w:firstLine="330" w:firstLineChars="150"/>
        <w:jc w:val="left"/>
        <w:rPr>
          <w:rFonts w:hint="eastAsia" w:ascii="仿宋" w:hAnsi="仿宋" w:eastAsia="仿宋" w:cs="仿宋"/>
          <w:sz w:val="22"/>
          <w:szCs w:val="32"/>
        </w:rPr>
      </w:pPr>
      <w:r>
        <w:rPr>
          <w:rFonts w:hint="eastAsia" w:ascii="仿宋" w:hAnsi="仿宋" w:eastAsia="仿宋" w:cs="仿宋"/>
          <w:sz w:val="22"/>
          <w:u w:val="single"/>
        </w:rPr>
        <w:t>（2）分包合同签订前，承包人须将拟定的分包人以及分包合同报经监理人和发包人审核书面同意；承包人应在分包合同签订后 7 天内向发包人和监理人提交分包合同副本</w:t>
      </w:r>
      <w:r>
        <w:rPr>
          <w:rFonts w:hint="eastAsia" w:ascii="仿宋" w:hAnsi="仿宋" w:eastAsia="仿宋" w:cs="仿宋"/>
          <w:sz w:val="22"/>
        </w:rPr>
        <w:t>。</w:t>
      </w:r>
    </w:p>
    <w:p w14:paraId="48D70DC8">
      <w:pPr>
        <w:adjustRightInd w:val="0"/>
        <w:snapToGrid w:val="0"/>
        <w:spacing w:line="360" w:lineRule="auto"/>
        <w:ind w:firstLine="330" w:firstLineChars="150"/>
        <w:jc w:val="left"/>
        <w:rPr>
          <w:rFonts w:hint="eastAsia" w:ascii="仿宋" w:hAnsi="仿宋" w:eastAsia="仿宋" w:cs="仿宋"/>
          <w:sz w:val="22"/>
        </w:rPr>
      </w:pPr>
      <w:r>
        <w:rPr>
          <w:rFonts w:hint="eastAsia" w:ascii="仿宋" w:hAnsi="仿宋" w:eastAsia="仿宋" w:cs="仿宋"/>
          <w:sz w:val="22"/>
          <w:u w:val="single"/>
        </w:rPr>
        <w:t>（3）承包人不得将其承包的全部工程转包给第三人，或将其承包的全部工程肢解后以分包的名义转包给第三人</w:t>
      </w:r>
      <w:r>
        <w:rPr>
          <w:rFonts w:hint="eastAsia" w:ascii="仿宋" w:hAnsi="仿宋" w:eastAsia="仿宋" w:cs="仿宋"/>
          <w:sz w:val="22"/>
        </w:rPr>
        <w:t>。</w:t>
      </w:r>
    </w:p>
    <w:p w14:paraId="7D38819B">
      <w:pPr>
        <w:adjustRightInd w:val="0"/>
        <w:snapToGrid w:val="0"/>
        <w:spacing w:line="360" w:lineRule="auto"/>
        <w:ind w:firstLine="330" w:firstLineChars="150"/>
        <w:jc w:val="left"/>
        <w:rPr>
          <w:rFonts w:hint="eastAsia" w:ascii="仿宋" w:hAnsi="仿宋" w:eastAsia="仿宋" w:cs="仿宋"/>
          <w:sz w:val="22"/>
          <w:u w:val="single"/>
        </w:rPr>
      </w:pPr>
      <w:r>
        <w:rPr>
          <w:rFonts w:hint="eastAsia" w:ascii="仿宋" w:hAnsi="仿宋" w:eastAsia="仿宋" w:cs="仿宋"/>
          <w:sz w:val="22"/>
        </w:rPr>
        <w:t>（4）</w:t>
      </w:r>
      <w:r>
        <w:rPr>
          <w:rFonts w:hint="eastAsia" w:ascii="仿宋" w:hAnsi="仿宋" w:eastAsia="仿宋" w:cs="仿宋"/>
          <w:sz w:val="22"/>
          <w:u w:val="single"/>
        </w:rPr>
        <w:t>本合同规定的工程项目，如确认有未经发包人批准的第三方施工单位进场，发包人有权要求承包人立即整改，发包人有权要求未经发包人批准的第三方施工单位退场，同时由承包人应向发包人支付违约金 5 万元；发包人的实际损失高于此违约金的，承包人还需赔偿发包人实际损失。经发包人准许的分包，分包合同不得与本合同发生抵触。分包合同不解除承包人对该分包工程的任何义务与责任，承包人在分包现场派驻监督管理人员，保证合同的履行。分包单位的任何违约行为，均视为承包人违约。分包单位对所分包的项目和承包人一样负有连带责任。</w:t>
      </w:r>
    </w:p>
    <w:p w14:paraId="7BD100E1">
      <w:pPr>
        <w:adjustRightInd w:val="0"/>
        <w:snapToGrid w:val="0"/>
        <w:spacing w:line="360" w:lineRule="auto"/>
        <w:jc w:val="left"/>
        <w:rPr>
          <w:rStyle w:val="285"/>
          <w:rFonts w:hint="eastAsia" w:ascii="仿宋" w:hAnsi="仿宋" w:eastAsia="仿宋" w:cs="仿宋"/>
          <w:sz w:val="22"/>
          <w:szCs w:val="32"/>
        </w:rPr>
      </w:pPr>
      <w:r>
        <w:rPr>
          <w:rStyle w:val="285"/>
          <w:rFonts w:hint="eastAsia" w:ascii="仿宋" w:hAnsi="仿宋" w:eastAsia="仿宋" w:cs="仿宋"/>
          <w:sz w:val="22"/>
          <w:szCs w:val="32"/>
        </w:rPr>
        <w:t>3.5.4 分包合同价款</w:t>
      </w:r>
    </w:p>
    <w:p w14:paraId="1C1BB565">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rPr>
        <w:t xml:space="preserve">    关于分包合同价款支付的约定：</w:t>
      </w:r>
      <w:r>
        <w:rPr>
          <w:rStyle w:val="285"/>
          <w:rFonts w:hint="eastAsia" w:ascii="仿宋" w:hAnsi="仿宋" w:eastAsia="仿宋" w:cs="仿宋"/>
          <w:sz w:val="22"/>
          <w:szCs w:val="32"/>
          <w:u w:val="single"/>
        </w:rPr>
        <w:t>由承包人与分包人结算，发包人有监督权。</w:t>
      </w:r>
    </w:p>
    <w:bookmarkEnd w:id="295"/>
    <w:bookmarkEnd w:id="296"/>
    <w:p w14:paraId="6E0AAEB1">
      <w:pPr>
        <w:adjustRightInd w:val="0"/>
        <w:snapToGrid w:val="0"/>
        <w:spacing w:line="360" w:lineRule="auto"/>
        <w:jc w:val="left"/>
        <w:rPr>
          <w:rStyle w:val="285"/>
          <w:rFonts w:hint="eastAsia" w:ascii="仿宋" w:hAnsi="仿宋" w:eastAsia="仿宋" w:cs="仿宋"/>
          <w:sz w:val="22"/>
          <w:szCs w:val="32"/>
        </w:rPr>
      </w:pPr>
      <w:r>
        <w:rPr>
          <w:rStyle w:val="285"/>
          <w:rFonts w:hint="eastAsia" w:ascii="仿宋" w:hAnsi="仿宋" w:eastAsia="仿宋" w:cs="仿宋"/>
          <w:sz w:val="22"/>
          <w:szCs w:val="32"/>
        </w:rPr>
        <w:t>3.6 工程照管与成品、半成品保护</w:t>
      </w:r>
    </w:p>
    <w:p w14:paraId="2ADCB5B0">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rPr>
        <w:t xml:space="preserve">    承包人负责照管工程及工程相关的材料、工程设备的起始时间：</w:t>
      </w:r>
      <w:r>
        <w:rPr>
          <w:rStyle w:val="285"/>
          <w:rFonts w:hint="eastAsia" w:ascii="仿宋" w:hAnsi="仿宋" w:eastAsia="仿宋" w:cs="仿宋"/>
          <w:sz w:val="22"/>
          <w:szCs w:val="32"/>
          <w:u w:val="single"/>
        </w:rPr>
        <w:t>（1）自发包人向承包人移交施工现场之日起，承包人应负责照管工程及工程相关的材料、工程设备，直到颁发工程接收证明之日止</w:t>
      </w:r>
      <w:r>
        <w:rPr>
          <w:rStyle w:val="285"/>
          <w:rFonts w:hint="eastAsia" w:ascii="仿宋" w:hAnsi="仿宋" w:eastAsia="仿宋" w:cs="仿宋"/>
          <w:sz w:val="22"/>
          <w:szCs w:val="32"/>
        </w:rPr>
        <w:t>。</w:t>
      </w:r>
    </w:p>
    <w:p w14:paraId="7032DE4D">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（2）在承包人负责照管期间，造成工程、材料、工程设备损坏的，由承包人负责修复或更换，并承担由此增加费用和（或）延误工期的责任</w:t>
      </w:r>
      <w:r>
        <w:rPr>
          <w:rStyle w:val="285"/>
          <w:rFonts w:hint="eastAsia" w:ascii="仿宋" w:hAnsi="仿宋" w:eastAsia="仿宋" w:cs="仿宋"/>
          <w:sz w:val="22"/>
          <w:szCs w:val="32"/>
        </w:rPr>
        <w:t>。</w:t>
      </w:r>
    </w:p>
    <w:p w14:paraId="6A87271B">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（3）对合同内分期完成的成品和半成品，在工程接收证书颁发前，由承包人承担保护责任。造成成品或半成品损坏的，由承包人负责修复或更换，并承担由此增加的费用和（或）延误的工期</w:t>
      </w:r>
      <w:r>
        <w:rPr>
          <w:rStyle w:val="285"/>
          <w:rFonts w:hint="eastAsia" w:ascii="仿宋" w:hAnsi="仿宋" w:eastAsia="仿宋" w:cs="仿宋"/>
          <w:sz w:val="22"/>
          <w:szCs w:val="32"/>
        </w:rPr>
        <w:t>。</w:t>
      </w:r>
    </w:p>
    <w:p w14:paraId="5DF42FD1">
      <w:pPr>
        <w:adjustRightInd w:val="0"/>
        <w:snapToGrid w:val="0"/>
        <w:spacing w:line="360" w:lineRule="auto"/>
        <w:ind w:firstLine="440" w:firstLineChars="200"/>
        <w:jc w:val="left"/>
        <w:rPr>
          <w:rFonts w:hint="eastAsia" w:ascii="仿宋" w:hAnsi="仿宋" w:eastAsia="仿宋" w:cs="仿宋"/>
          <w:sz w:val="22"/>
          <w:szCs w:val="32"/>
        </w:rPr>
      </w:pPr>
      <w:r>
        <w:rPr>
          <w:rFonts w:hint="eastAsia" w:ascii="仿宋" w:hAnsi="仿宋" w:eastAsia="仿宋" w:cs="仿宋"/>
          <w:sz w:val="22"/>
          <w:u w:val="single" w:color="000000"/>
        </w:rPr>
        <w:t>（4）在工程交付后，发包人要求承包人继续保护，费用另行商定</w:t>
      </w:r>
      <w:r>
        <w:rPr>
          <w:rFonts w:hint="eastAsia" w:ascii="仿宋" w:hAnsi="仿宋" w:eastAsia="仿宋" w:cs="仿宋"/>
          <w:sz w:val="22"/>
        </w:rPr>
        <w:t>。</w:t>
      </w:r>
    </w:p>
    <w:p w14:paraId="7BDB4C2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3.7 履约担保</w:t>
      </w:r>
    </w:p>
    <w:p w14:paraId="27063FB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承包人是否提供履约担保：</w:t>
      </w:r>
      <w:r>
        <w:rPr>
          <w:rFonts w:hint="eastAsia" w:ascii="仿宋" w:hAnsi="仿宋" w:eastAsia="仿宋" w:cs="仿宋"/>
          <w:sz w:val="22"/>
          <w:u w:val="single" w:color="000000"/>
        </w:rPr>
        <w:t>釆用</w:t>
      </w:r>
      <w:r>
        <w:rPr>
          <w:rFonts w:hint="eastAsia" w:ascii="仿宋" w:hAnsi="仿宋" w:eastAsia="仿宋" w:cs="仿宋"/>
          <w:sz w:val="22"/>
        </w:rPr>
        <w:t>。</w:t>
      </w:r>
    </w:p>
    <w:p w14:paraId="35C79345">
      <w:pPr>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承包人提供履约担保的形式、金额及期限的：</w:t>
      </w:r>
      <w:r>
        <w:rPr>
          <w:rFonts w:hint="eastAsia" w:ascii="仿宋" w:hAnsi="仿宋" w:eastAsia="仿宋" w:cs="仿宋"/>
          <w:sz w:val="22"/>
          <w:u w:val="single"/>
        </w:rPr>
        <w:t>成交供应商应在《成交通知书》发出之日起10个工作日内向采购人提交履约保证金，保证金方式：电子汇款。履约保证金的金额为成交金额的10%。履约保证金在竣工验收合格后，且成交供应商无违约行为并提供相关资料向采购人申请，采购人审核无误后无息退还。</w:t>
      </w:r>
    </w:p>
    <w:p w14:paraId="44698998">
      <w:pPr>
        <w:pStyle w:val="5"/>
        <w:keepNext w:val="0"/>
        <w:adjustRightInd w:val="0"/>
        <w:snapToGrid w:val="0"/>
        <w:spacing w:line="360" w:lineRule="auto"/>
        <w:jc w:val="left"/>
        <w:rPr>
          <w:rFonts w:hint="eastAsia" w:ascii="仿宋" w:hAnsi="仿宋" w:eastAsia="仿宋" w:cs="仿宋"/>
          <w:b/>
          <w:color w:val="auto"/>
          <w:sz w:val="22"/>
          <w:szCs w:val="24"/>
        </w:rPr>
      </w:pPr>
      <w:bookmarkStart w:id="297" w:name="_Toc351203636"/>
      <w:r>
        <w:rPr>
          <w:rFonts w:hint="eastAsia" w:ascii="仿宋" w:hAnsi="仿宋" w:eastAsia="仿宋" w:cs="仿宋"/>
          <w:b/>
          <w:color w:val="auto"/>
          <w:sz w:val="22"/>
          <w:szCs w:val="24"/>
        </w:rPr>
        <w:t>4</w:t>
      </w:r>
      <w:bookmarkStart w:id="298" w:name="_Toc296347161"/>
      <w:bookmarkStart w:id="299" w:name="_Toc296346663"/>
      <w:bookmarkStart w:id="300" w:name="_Toc296890990"/>
      <w:bookmarkStart w:id="301" w:name="_Toc296944501"/>
      <w:bookmarkStart w:id="302" w:name="_Toc297120462"/>
      <w:bookmarkStart w:id="303" w:name="_Toc296503162"/>
      <w:bookmarkStart w:id="304" w:name="_Toc292559871"/>
      <w:bookmarkStart w:id="305" w:name="_Toc267251413"/>
      <w:bookmarkStart w:id="306" w:name="_Toc297048348"/>
      <w:bookmarkStart w:id="307" w:name="_Toc296891202"/>
      <w:bookmarkStart w:id="308" w:name="_Toc292559366"/>
      <w:r>
        <w:rPr>
          <w:rFonts w:hint="eastAsia" w:ascii="仿宋" w:hAnsi="仿宋" w:eastAsia="仿宋" w:cs="仿宋"/>
          <w:b/>
          <w:color w:val="auto"/>
          <w:sz w:val="22"/>
          <w:szCs w:val="24"/>
        </w:rPr>
        <w:t>. 监</w:t>
      </w:r>
      <w:bookmarkEnd w:id="298"/>
      <w:bookmarkEnd w:id="299"/>
      <w:bookmarkEnd w:id="300"/>
      <w:bookmarkEnd w:id="301"/>
      <w:bookmarkEnd w:id="302"/>
      <w:bookmarkEnd w:id="303"/>
      <w:bookmarkEnd w:id="304"/>
      <w:bookmarkEnd w:id="305"/>
      <w:bookmarkEnd w:id="306"/>
      <w:bookmarkEnd w:id="307"/>
      <w:bookmarkEnd w:id="308"/>
      <w:r>
        <w:rPr>
          <w:rFonts w:hint="eastAsia" w:ascii="仿宋" w:hAnsi="仿宋" w:eastAsia="仿宋" w:cs="仿宋"/>
          <w:b/>
          <w:color w:val="auto"/>
          <w:sz w:val="22"/>
          <w:szCs w:val="24"/>
        </w:rPr>
        <w:t>理人</w:t>
      </w:r>
      <w:bookmarkEnd w:id="297"/>
    </w:p>
    <w:p w14:paraId="1FD069A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4.1监理人的一般规定</w:t>
      </w:r>
    </w:p>
    <w:p w14:paraId="197218E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关于监理人的监理内容：</w:t>
      </w:r>
      <w:r>
        <w:rPr>
          <w:rFonts w:hint="eastAsia" w:ascii="仿宋" w:hAnsi="仿宋" w:eastAsia="仿宋" w:cs="仿宋"/>
          <w:sz w:val="22"/>
          <w:u w:val="single"/>
        </w:rPr>
        <w:t>工程施工及保修阶段全过程的监理，对工程质量控制、进度控制、安全控制、投资控制、信息管理、合同管理、现场协调</w:t>
      </w:r>
      <w:r>
        <w:rPr>
          <w:rFonts w:hint="eastAsia" w:ascii="仿宋" w:hAnsi="仿宋" w:eastAsia="仿宋" w:cs="仿宋"/>
          <w:sz w:val="22"/>
        </w:rPr>
        <w:t>。</w:t>
      </w:r>
    </w:p>
    <w:p w14:paraId="49329C6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关于监理人的监理权限：</w:t>
      </w:r>
    </w:p>
    <w:p w14:paraId="35A6FBA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（1）对工程分包人的资质、能力判别权</w:t>
      </w:r>
      <w:r>
        <w:rPr>
          <w:rFonts w:hint="eastAsia" w:ascii="仿宋" w:hAnsi="仿宋" w:eastAsia="仿宋" w:cs="仿宋"/>
          <w:sz w:val="22"/>
        </w:rPr>
        <w:t>；</w:t>
      </w:r>
    </w:p>
    <w:p w14:paraId="62100BA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对工程设计中的技术问题，按照安全和优化的原则，向设计人提出建议；如果拟提出的建议可能会提高工程造价，或延长工期，应当事先征得发包人的书面书面同意。当发现工程设计不符合国家颁布的建设工程质量标准或设计合同约定的质量标准时，监理人应当书面报告发包人并要求设计人更正</w:t>
      </w:r>
      <w:r>
        <w:rPr>
          <w:rFonts w:hint="eastAsia" w:ascii="仿宋" w:hAnsi="仿宋" w:eastAsia="仿宋" w:cs="仿宋"/>
          <w:sz w:val="22"/>
        </w:rPr>
        <w:t>；</w:t>
      </w:r>
    </w:p>
    <w:p w14:paraId="1C9C006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（3）审核工程施工组织设计和技术方案或设计变更，按照保质量、保工期、降低成本的原则，优化或修正承包人施工组织设计和技术方案，并向发包人提出书面报告</w:t>
      </w:r>
      <w:r>
        <w:rPr>
          <w:rFonts w:hint="eastAsia" w:ascii="仿宋" w:hAnsi="仿宋" w:eastAsia="仿宋" w:cs="仿宋"/>
          <w:sz w:val="22"/>
        </w:rPr>
        <w:t>；</w:t>
      </w:r>
    </w:p>
    <w:p w14:paraId="27C8372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（4）主持工程建设的组织协调工作，重要协调事项需事先向发包人报告</w:t>
      </w:r>
      <w:r>
        <w:rPr>
          <w:rFonts w:hint="eastAsia" w:ascii="仿宋" w:hAnsi="仿宋" w:eastAsia="仿宋" w:cs="仿宋"/>
          <w:sz w:val="22"/>
        </w:rPr>
        <w:t>；</w:t>
      </w:r>
    </w:p>
    <w:p w14:paraId="46F799F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（5）征得发包人书面书面同意，监理工程师有权发布开工令、停工令、复工令</w:t>
      </w:r>
      <w:r>
        <w:rPr>
          <w:rFonts w:hint="eastAsia" w:ascii="仿宋" w:hAnsi="仿宋" w:eastAsia="仿宋" w:cs="仿宋"/>
          <w:sz w:val="22"/>
        </w:rPr>
        <w:t>；</w:t>
      </w:r>
    </w:p>
    <w:p w14:paraId="23D9B22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6）对工程上使用的材料、设备和施工质量的检验监督。对于不符合设计要求和合同约定及国家质量标准的材料、构配件、设备，有权通知承包人停止使用并报告发包人；对于不符合规范和质量标准的工序、分部、分项工程和不安全施工作业，有权通知承包人停工整改、返工并报告发包人。承包人得到监理单位复工令后才能复工</w:t>
      </w:r>
      <w:r>
        <w:rPr>
          <w:rFonts w:hint="eastAsia" w:ascii="仿宋" w:hAnsi="仿宋" w:eastAsia="仿宋" w:cs="仿宋"/>
          <w:sz w:val="22"/>
        </w:rPr>
        <w:t>；</w:t>
      </w:r>
    </w:p>
    <w:p w14:paraId="719468D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（7）对工程施工的质量、安全文明、进度的检查、监督权</w:t>
      </w:r>
      <w:r>
        <w:rPr>
          <w:rFonts w:hint="eastAsia" w:ascii="仿宋" w:hAnsi="仿宋" w:eastAsia="仿宋" w:cs="仿宋"/>
          <w:sz w:val="22"/>
        </w:rPr>
        <w:t>；</w:t>
      </w:r>
    </w:p>
    <w:p w14:paraId="6586144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（8）对工程施工过程中费用索赔或工程延期的</w:t>
      </w:r>
      <w:r>
        <w:rPr>
          <w:rStyle w:val="287"/>
          <w:rFonts w:hint="eastAsia" w:ascii="仿宋" w:hAnsi="仿宋" w:eastAsia="仿宋" w:cs="仿宋"/>
          <w:sz w:val="22"/>
        </w:rPr>
        <w:t>签认</w:t>
      </w:r>
      <w:r>
        <w:rPr>
          <w:rFonts w:hint="eastAsia" w:ascii="仿宋" w:hAnsi="仿宋" w:eastAsia="仿宋" w:cs="仿宋"/>
          <w:sz w:val="22"/>
          <w:u w:val="single"/>
        </w:rPr>
        <w:t>权</w:t>
      </w:r>
      <w:r>
        <w:rPr>
          <w:rFonts w:hint="eastAsia" w:ascii="仿宋" w:hAnsi="仿宋" w:eastAsia="仿宋" w:cs="仿宋"/>
          <w:sz w:val="22"/>
        </w:rPr>
        <w:t>；</w:t>
      </w:r>
    </w:p>
    <w:p w14:paraId="63C4FFD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（9）在合同约定的工程价格范围内，对工程款支付的</w:t>
      </w:r>
      <w:r>
        <w:rPr>
          <w:rStyle w:val="287"/>
          <w:rFonts w:hint="eastAsia" w:ascii="仿宋" w:hAnsi="仿宋" w:eastAsia="仿宋" w:cs="仿宋"/>
          <w:sz w:val="22"/>
        </w:rPr>
        <w:t>签认</w:t>
      </w:r>
      <w:r>
        <w:rPr>
          <w:rFonts w:hint="eastAsia" w:ascii="仿宋" w:hAnsi="仿宋" w:eastAsia="仿宋" w:cs="仿宋"/>
          <w:sz w:val="22"/>
          <w:u w:val="single"/>
        </w:rPr>
        <w:t>权，以及工程结算的复查权与否决权</w:t>
      </w:r>
      <w:r>
        <w:rPr>
          <w:rFonts w:hint="eastAsia" w:ascii="仿宋" w:hAnsi="仿宋" w:eastAsia="仿宋" w:cs="仿宋"/>
          <w:sz w:val="22"/>
        </w:rPr>
        <w:t>；</w:t>
      </w:r>
    </w:p>
    <w:p w14:paraId="17970A3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（10）经发包人书面同意后，监理工程师有权要求承包人撤换那些不能胜任本职工作或行为不端或玩忽职守的施工现场人员</w:t>
      </w:r>
      <w:r>
        <w:rPr>
          <w:rFonts w:hint="eastAsia" w:ascii="仿宋" w:hAnsi="仿宋" w:eastAsia="仿宋" w:cs="仿宋"/>
          <w:sz w:val="22"/>
        </w:rPr>
        <w:t>；</w:t>
      </w:r>
    </w:p>
    <w:p w14:paraId="186E805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（11）除合同内有明确约定或经发包人书面同意外，负责的监理工程师无权免除本合同约定的承包人的任何权利与义务</w:t>
      </w:r>
      <w:r>
        <w:rPr>
          <w:rFonts w:hint="eastAsia" w:ascii="仿宋" w:hAnsi="仿宋" w:eastAsia="仿宋" w:cs="仿宋"/>
          <w:sz w:val="22"/>
        </w:rPr>
        <w:t>。</w:t>
      </w:r>
    </w:p>
    <w:p w14:paraId="623D9C0F">
      <w:pPr>
        <w:spacing w:line="360" w:lineRule="auto"/>
        <w:ind w:firstLine="440" w:firstLineChars="200"/>
        <w:jc w:val="left"/>
        <w:rPr>
          <w:rStyle w:val="287"/>
          <w:rFonts w:hint="eastAsia" w:ascii="仿宋" w:hAnsi="仿宋" w:eastAsia="仿宋" w:cs="仿宋"/>
          <w:sz w:val="22"/>
          <w:szCs w:val="32"/>
        </w:rPr>
      </w:pPr>
      <w:r>
        <w:rPr>
          <w:rStyle w:val="287"/>
          <w:rFonts w:hint="eastAsia" w:ascii="仿宋" w:hAnsi="仿宋" w:eastAsia="仿宋" w:cs="仿宋"/>
          <w:sz w:val="22"/>
        </w:rPr>
        <w:t>需要取得发包人批准才能行使的职权：分包单位的确定、施工中或图纸中的建议、设计变更、签证、工期延期、开工令、停工令、复工令，以及工程施工过程中将会导致造价变化的一切事宜 。</w:t>
      </w:r>
    </w:p>
    <w:p w14:paraId="7098D638">
      <w:pPr>
        <w:adjustRightInd w:val="0"/>
        <w:snapToGrid w:val="0"/>
        <w:spacing w:line="360" w:lineRule="auto"/>
        <w:ind w:firstLine="440" w:firstLineChars="200"/>
        <w:jc w:val="left"/>
        <w:rPr>
          <w:rFonts w:hint="eastAsia" w:ascii="仿宋" w:hAnsi="仿宋" w:eastAsia="仿宋" w:cs="仿宋"/>
          <w:sz w:val="22"/>
          <w:szCs w:val="32"/>
        </w:rPr>
      </w:pPr>
      <w:r>
        <w:rPr>
          <w:rFonts w:hint="eastAsia" w:ascii="仿宋" w:hAnsi="仿宋" w:eastAsia="仿宋" w:cs="仿宋"/>
          <w:sz w:val="22"/>
        </w:rPr>
        <w:t>关于监理人在施工现场的办公场所、生活场所的提供和费用承担的约定：</w:t>
      </w:r>
      <w:r>
        <w:rPr>
          <w:rFonts w:hint="eastAsia" w:ascii="仿宋" w:hAnsi="仿宋" w:eastAsia="仿宋" w:cs="仿宋"/>
          <w:sz w:val="22"/>
          <w:u w:val="single"/>
        </w:rPr>
        <w:t>施工现场的办公场所、生活场所由承包人提供，所发生费用由承包人承担。监理人相关办公、生活费用由监理人自行承担</w:t>
      </w:r>
      <w:r>
        <w:rPr>
          <w:rFonts w:hint="eastAsia" w:ascii="仿宋" w:hAnsi="仿宋" w:eastAsia="仿宋" w:cs="仿宋"/>
          <w:sz w:val="22"/>
        </w:rPr>
        <w:t>。</w:t>
      </w:r>
    </w:p>
    <w:p w14:paraId="325F1C5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4.2 监理人员</w:t>
      </w:r>
    </w:p>
    <w:p w14:paraId="05CE914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总监理工程师：</w:t>
      </w:r>
    </w:p>
    <w:p w14:paraId="60A7B3D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姓    名：</w:t>
      </w:r>
      <w:r>
        <w:rPr>
          <w:rFonts w:hint="eastAsia" w:ascii="仿宋" w:hAnsi="仿宋" w:eastAsia="仿宋" w:cs="仿宋"/>
          <w:sz w:val="22"/>
          <w:u w:val="single"/>
        </w:rPr>
        <w:t xml:space="preserve">                                  </w:t>
      </w:r>
      <w:r>
        <w:rPr>
          <w:rFonts w:hint="eastAsia" w:ascii="仿宋" w:hAnsi="仿宋" w:eastAsia="仿宋" w:cs="仿宋"/>
          <w:sz w:val="22"/>
        </w:rPr>
        <w:t>；</w:t>
      </w:r>
    </w:p>
    <w:p w14:paraId="1CAC478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职    务：</w:t>
      </w:r>
      <w:r>
        <w:rPr>
          <w:rFonts w:hint="eastAsia" w:ascii="仿宋" w:hAnsi="仿宋" w:eastAsia="仿宋" w:cs="仿宋"/>
          <w:sz w:val="22"/>
          <w:u w:val="single"/>
        </w:rPr>
        <w:t xml:space="preserve">                                  </w:t>
      </w:r>
      <w:r>
        <w:rPr>
          <w:rFonts w:hint="eastAsia" w:ascii="仿宋" w:hAnsi="仿宋" w:eastAsia="仿宋" w:cs="仿宋"/>
          <w:sz w:val="22"/>
        </w:rPr>
        <w:t>；</w:t>
      </w:r>
    </w:p>
    <w:p w14:paraId="1840035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监理工程师执业资格证书号：</w:t>
      </w:r>
      <w:r>
        <w:rPr>
          <w:rFonts w:hint="eastAsia" w:ascii="仿宋" w:hAnsi="仿宋" w:eastAsia="仿宋" w:cs="仿宋"/>
          <w:sz w:val="22"/>
          <w:u w:val="single"/>
        </w:rPr>
        <w:t xml:space="preserve">                  </w:t>
      </w:r>
      <w:r>
        <w:rPr>
          <w:rFonts w:hint="eastAsia" w:ascii="仿宋" w:hAnsi="仿宋" w:eastAsia="仿宋" w:cs="仿宋"/>
          <w:sz w:val="22"/>
        </w:rPr>
        <w:t>；</w:t>
      </w:r>
    </w:p>
    <w:p w14:paraId="6ACE0F6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 xml:space="preserve">                                  </w:t>
      </w:r>
      <w:r>
        <w:rPr>
          <w:rFonts w:hint="eastAsia" w:ascii="仿宋" w:hAnsi="仿宋" w:eastAsia="仿宋" w:cs="仿宋"/>
          <w:sz w:val="22"/>
        </w:rPr>
        <w:t>；</w:t>
      </w:r>
    </w:p>
    <w:p w14:paraId="7E30DB1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电子信箱：</w:t>
      </w:r>
      <w:r>
        <w:rPr>
          <w:rFonts w:hint="eastAsia" w:ascii="仿宋" w:hAnsi="仿宋" w:eastAsia="仿宋" w:cs="仿宋"/>
          <w:sz w:val="22"/>
          <w:u w:val="single"/>
        </w:rPr>
        <w:t xml:space="preserve">                                  </w:t>
      </w:r>
      <w:r>
        <w:rPr>
          <w:rFonts w:hint="eastAsia" w:ascii="仿宋" w:hAnsi="仿宋" w:eastAsia="仿宋" w:cs="仿宋"/>
          <w:sz w:val="22"/>
        </w:rPr>
        <w:t>；</w:t>
      </w:r>
    </w:p>
    <w:p w14:paraId="3352266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通信地址：</w:t>
      </w:r>
      <w:r>
        <w:rPr>
          <w:rFonts w:hint="eastAsia" w:ascii="仿宋" w:hAnsi="仿宋" w:eastAsia="仿宋" w:cs="仿宋"/>
          <w:sz w:val="22"/>
          <w:u w:val="single"/>
        </w:rPr>
        <w:t xml:space="preserve">                                  </w:t>
      </w:r>
      <w:r>
        <w:rPr>
          <w:rFonts w:hint="eastAsia" w:ascii="仿宋" w:hAnsi="仿宋" w:eastAsia="仿宋" w:cs="仿宋"/>
          <w:sz w:val="22"/>
        </w:rPr>
        <w:t>；</w:t>
      </w:r>
    </w:p>
    <w:p w14:paraId="7198DD1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关于监理人的其他约定：</w:t>
      </w:r>
      <w:r>
        <w:rPr>
          <w:rFonts w:hint="eastAsia" w:ascii="仿宋" w:hAnsi="仿宋" w:eastAsia="仿宋" w:cs="仿宋"/>
          <w:sz w:val="22"/>
          <w:u w:val="single"/>
        </w:rPr>
        <w:t xml:space="preserve"> / </w:t>
      </w:r>
      <w:r>
        <w:rPr>
          <w:rFonts w:hint="eastAsia" w:ascii="仿宋" w:hAnsi="仿宋" w:eastAsia="仿宋" w:cs="仿宋"/>
          <w:sz w:val="22"/>
        </w:rPr>
        <w:t>。</w:t>
      </w:r>
    </w:p>
    <w:p w14:paraId="1065BB3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4.4 商定或确定</w:t>
      </w:r>
    </w:p>
    <w:p w14:paraId="29CC8932">
      <w:pPr>
        <w:spacing w:line="360" w:lineRule="auto"/>
        <w:ind w:firstLine="440" w:firstLineChars="200"/>
        <w:jc w:val="left"/>
        <w:rPr>
          <w:rFonts w:hint="eastAsia" w:ascii="仿宋" w:hAnsi="仿宋" w:eastAsia="仿宋" w:cs="仿宋"/>
          <w:sz w:val="22"/>
        </w:rPr>
      </w:pPr>
      <w:bookmarkStart w:id="309" w:name="_Toc267251418"/>
      <w:r>
        <w:rPr>
          <w:rFonts w:hint="eastAsia" w:ascii="仿宋" w:hAnsi="仿宋" w:eastAsia="仿宋" w:cs="仿宋"/>
          <w:sz w:val="22"/>
        </w:rPr>
        <w:t>在发包人和承包人不能通过协商达成一致意见时，发包人授权监理人对以下事项进行确定：</w:t>
      </w:r>
      <w:r>
        <w:rPr>
          <w:rFonts w:hint="eastAsia" w:ascii="仿宋" w:hAnsi="仿宋" w:eastAsia="仿宋" w:cs="仿宋"/>
          <w:sz w:val="22"/>
          <w:u w:val="single"/>
        </w:rPr>
        <w:t>工程质量、安全文明施工、分部分项施工工艺或施工方案、材料设备等的检查、检验、验收</w:t>
      </w:r>
      <w:r>
        <w:rPr>
          <w:rFonts w:hint="eastAsia" w:ascii="仿宋" w:hAnsi="仿宋" w:eastAsia="仿宋" w:cs="仿宋"/>
          <w:sz w:val="22"/>
        </w:rPr>
        <w:t>。</w:t>
      </w:r>
    </w:p>
    <w:p w14:paraId="26B816F0">
      <w:pPr>
        <w:pStyle w:val="5"/>
        <w:keepNext w:val="0"/>
        <w:adjustRightInd w:val="0"/>
        <w:snapToGrid w:val="0"/>
        <w:spacing w:line="360" w:lineRule="auto"/>
        <w:jc w:val="left"/>
        <w:rPr>
          <w:rFonts w:hint="eastAsia" w:ascii="仿宋" w:hAnsi="仿宋" w:eastAsia="仿宋" w:cs="仿宋"/>
          <w:b/>
          <w:color w:val="auto"/>
          <w:sz w:val="22"/>
          <w:szCs w:val="24"/>
        </w:rPr>
      </w:pPr>
      <w:bookmarkStart w:id="310" w:name="_Toc351203637"/>
      <w:r>
        <w:rPr>
          <w:rFonts w:hint="eastAsia" w:ascii="仿宋" w:hAnsi="仿宋" w:eastAsia="仿宋" w:cs="仿宋"/>
          <w:b/>
          <w:color w:val="auto"/>
          <w:sz w:val="22"/>
          <w:szCs w:val="24"/>
        </w:rPr>
        <w:t>5</w:t>
      </w:r>
      <w:bookmarkEnd w:id="309"/>
      <w:bookmarkStart w:id="311" w:name="_Toc296346664"/>
      <w:bookmarkStart w:id="312" w:name="_Toc297048349"/>
      <w:bookmarkStart w:id="313" w:name="_Toc296347162"/>
      <w:bookmarkStart w:id="314" w:name="_Toc296944502"/>
      <w:bookmarkStart w:id="315" w:name="_Toc292559872"/>
      <w:bookmarkStart w:id="316" w:name="_Toc296891203"/>
      <w:bookmarkStart w:id="317" w:name="_Toc297120463"/>
      <w:bookmarkStart w:id="318" w:name="_Toc292559367"/>
      <w:bookmarkStart w:id="319" w:name="_Toc296890991"/>
      <w:bookmarkStart w:id="320" w:name="_Toc296503163"/>
      <w:r>
        <w:rPr>
          <w:rFonts w:hint="eastAsia" w:ascii="仿宋" w:hAnsi="仿宋" w:eastAsia="仿宋" w:cs="仿宋"/>
          <w:b/>
          <w:color w:val="auto"/>
          <w:sz w:val="22"/>
          <w:szCs w:val="24"/>
        </w:rPr>
        <w:t>. 工程质量</w:t>
      </w:r>
      <w:bookmarkEnd w:id="310"/>
    </w:p>
    <w:p w14:paraId="7F54AB82">
      <w:pPr>
        <w:adjustRightInd w:val="0"/>
        <w:snapToGrid w:val="0"/>
        <w:spacing w:line="360" w:lineRule="auto"/>
        <w:ind w:firstLine="440" w:firstLineChars="200"/>
        <w:jc w:val="left"/>
        <w:rPr>
          <w:rFonts w:hint="eastAsia" w:ascii="仿宋" w:hAnsi="仿宋" w:eastAsia="仿宋" w:cs="仿宋"/>
          <w:sz w:val="22"/>
        </w:rPr>
      </w:pPr>
      <w:bookmarkStart w:id="321" w:name="_Toc318581164"/>
      <w:bookmarkStart w:id="322" w:name="_Toc297123496"/>
      <w:bookmarkStart w:id="323" w:name="_Toc300934949"/>
      <w:bookmarkStart w:id="324" w:name="_Toc312677997"/>
      <w:bookmarkStart w:id="325" w:name="_Toc303539106"/>
      <w:bookmarkStart w:id="326" w:name="_Toc297216155"/>
      <w:bookmarkStart w:id="327" w:name="_Toc304295527"/>
      <w:r>
        <w:rPr>
          <w:rFonts w:hint="eastAsia" w:ascii="仿宋" w:hAnsi="仿宋" w:eastAsia="仿宋" w:cs="仿宋"/>
          <w:sz w:val="22"/>
        </w:rPr>
        <w:t>5.1 质量要求</w:t>
      </w:r>
    </w:p>
    <w:p w14:paraId="6E448E83">
      <w:pPr>
        <w:adjustRightInd w:val="0"/>
        <w:snapToGrid w:val="0"/>
        <w:spacing w:line="360" w:lineRule="auto"/>
        <w:ind w:firstLine="440" w:firstLineChars="200"/>
        <w:jc w:val="left"/>
        <w:rPr>
          <w:rStyle w:val="285"/>
          <w:rFonts w:hint="eastAsia" w:ascii="仿宋" w:hAnsi="仿宋" w:eastAsia="仿宋" w:cs="仿宋"/>
          <w:sz w:val="22"/>
          <w:szCs w:val="32"/>
          <w:u w:val="single"/>
        </w:rPr>
      </w:pPr>
      <w:r>
        <w:rPr>
          <w:rFonts w:hint="eastAsia" w:ascii="仿宋" w:hAnsi="仿宋" w:eastAsia="仿宋" w:cs="仿宋"/>
          <w:sz w:val="22"/>
        </w:rPr>
        <w:t>5.1.1 特殊质量标准和要求：符合《建筑工程施工质量验收统一标准》（GB50300-2013），</w:t>
      </w:r>
      <w:r>
        <w:rPr>
          <w:rFonts w:hint="eastAsia" w:ascii="仿宋" w:hAnsi="仿宋" w:eastAsia="仿宋" w:cs="仿宋"/>
          <w:sz w:val="22"/>
          <w:u w:val="single"/>
        </w:rPr>
        <w:t>对不符合国家质量验收标准及图纸要求，所发生的一切返工费用以及由此给发包人造成的经济损失由承包人承担。</w:t>
      </w:r>
    </w:p>
    <w:p w14:paraId="571C3432">
      <w:pPr>
        <w:adjustRightInd w:val="0"/>
        <w:snapToGrid w:val="0"/>
        <w:spacing w:line="360" w:lineRule="auto"/>
        <w:ind w:firstLine="440" w:firstLineChars="200"/>
        <w:jc w:val="left"/>
        <w:rPr>
          <w:rStyle w:val="285"/>
          <w:rFonts w:hint="eastAsia" w:ascii="仿宋" w:hAnsi="仿宋" w:eastAsia="仿宋" w:cs="仿宋"/>
          <w:sz w:val="22"/>
          <w:szCs w:val="32"/>
          <w:u w:val="single"/>
        </w:rPr>
      </w:pPr>
      <w:r>
        <w:rPr>
          <w:rFonts w:hint="eastAsia" w:ascii="仿宋" w:hAnsi="仿宋" w:eastAsia="仿宋" w:cs="仿宋"/>
          <w:sz w:val="22"/>
        </w:rPr>
        <w:t>关于工程奖项的约定：</w:t>
      </w:r>
      <w:r>
        <w:rPr>
          <w:rStyle w:val="285"/>
          <w:rFonts w:hint="eastAsia" w:ascii="仿宋" w:hAnsi="仿宋" w:eastAsia="仿宋" w:cs="仿宋"/>
          <w:sz w:val="22"/>
          <w:szCs w:val="32"/>
          <w:u w:val="single"/>
        </w:rPr>
        <w:t>/。</w:t>
      </w:r>
    </w:p>
    <w:p w14:paraId="700B3EB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5.3 隐蔽工程检查</w:t>
      </w:r>
    </w:p>
    <w:p w14:paraId="7A713F6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5.3.1承包人提前通知监理人隐蔽工程检查的期限的约定：</w:t>
      </w:r>
      <w:r>
        <w:rPr>
          <w:rFonts w:hint="eastAsia" w:ascii="仿宋" w:hAnsi="仿宋" w:eastAsia="仿宋" w:cs="仿宋"/>
          <w:sz w:val="22"/>
          <w:u w:val="single"/>
        </w:rPr>
        <w:t>承包人至少须提前24小时通知监理人</w:t>
      </w:r>
      <w:r>
        <w:rPr>
          <w:rFonts w:hint="eastAsia" w:ascii="仿宋" w:hAnsi="仿宋" w:eastAsia="仿宋" w:cs="仿宋"/>
          <w:sz w:val="22"/>
        </w:rPr>
        <w:t>。</w:t>
      </w:r>
    </w:p>
    <w:p w14:paraId="65994AD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监理人不能按时进行检查时，应提前</w:t>
      </w:r>
      <w:r>
        <w:rPr>
          <w:rFonts w:hint="eastAsia" w:ascii="仿宋" w:hAnsi="仿宋" w:eastAsia="仿宋" w:cs="仿宋"/>
          <w:sz w:val="22"/>
          <w:u w:val="single"/>
        </w:rPr>
        <w:t xml:space="preserve"> 12 </w:t>
      </w:r>
      <w:r>
        <w:rPr>
          <w:rFonts w:hint="eastAsia" w:ascii="仿宋" w:hAnsi="仿宋" w:eastAsia="仿宋" w:cs="仿宋"/>
          <w:sz w:val="22"/>
        </w:rPr>
        <w:t>小时提交书面延期要求。</w:t>
      </w:r>
    </w:p>
    <w:p w14:paraId="44DA36B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关于延期最长不得超过：</w:t>
      </w:r>
      <w:r>
        <w:rPr>
          <w:rFonts w:hint="eastAsia" w:ascii="仿宋" w:hAnsi="仿宋" w:eastAsia="仿宋" w:cs="仿宋"/>
          <w:sz w:val="22"/>
          <w:u w:val="single"/>
        </w:rPr>
        <w:t xml:space="preserve"> 24 </w:t>
      </w:r>
      <w:r>
        <w:rPr>
          <w:rFonts w:hint="eastAsia" w:ascii="仿宋" w:hAnsi="仿宋" w:eastAsia="仿宋" w:cs="仿宋"/>
          <w:sz w:val="22"/>
        </w:rPr>
        <w:t>小时。</w:t>
      </w:r>
    </w:p>
    <w:p w14:paraId="0272AF74">
      <w:pPr>
        <w:pStyle w:val="5"/>
        <w:keepNext w:val="0"/>
        <w:adjustRightInd w:val="0"/>
        <w:snapToGrid w:val="0"/>
        <w:spacing w:line="360" w:lineRule="auto"/>
        <w:jc w:val="left"/>
        <w:rPr>
          <w:rFonts w:hint="eastAsia" w:ascii="仿宋" w:hAnsi="仿宋" w:eastAsia="仿宋" w:cs="仿宋"/>
          <w:b/>
          <w:color w:val="auto"/>
          <w:sz w:val="22"/>
          <w:szCs w:val="24"/>
        </w:rPr>
      </w:pPr>
      <w:bookmarkStart w:id="328" w:name="_Toc351203638"/>
      <w:r>
        <w:rPr>
          <w:rFonts w:hint="eastAsia" w:ascii="仿宋" w:hAnsi="仿宋" w:eastAsia="仿宋" w:cs="仿宋"/>
          <w:b/>
          <w:color w:val="auto"/>
          <w:sz w:val="22"/>
          <w:szCs w:val="24"/>
        </w:rPr>
        <w:t>6.安全文明施工与环境保护</w:t>
      </w:r>
      <w:bookmarkEnd w:id="328"/>
    </w:p>
    <w:p w14:paraId="04C1B0DD">
      <w:pPr>
        <w:pStyle w:val="5"/>
        <w:keepNext w:val="0"/>
        <w:adjustRightInd w:val="0"/>
        <w:snapToGrid w:val="0"/>
        <w:spacing w:line="360" w:lineRule="auto"/>
        <w:jc w:val="left"/>
        <w:rPr>
          <w:rFonts w:hint="eastAsia" w:ascii="仿宋" w:hAnsi="仿宋" w:eastAsia="仿宋" w:cs="仿宋"/>
          <w:b/>
          <w:color w:val="auto"/>
          <w:sz w:val="22"/>
          <w:szCs w:val="24"/>
        </w:rPr>
      </w:pPr>
      <w:r>
        <w:rPr>
          <w:rFonts w:hint="eastAsia" w:ascii="仿宋" w:hAnsi="仿宋" w:eastAsia="仿宋" w:cs="仿宋"/>
          <w:b/>
          <w:color w:val="auto"/>
          <w:sz w:val="22"/>
          <w:szCs w:val="24"/>
        </w:rPr>
        <w:t>6.1安全文明施工</w:t>
      </w:r>
    </w:p>
    <w:p w14:paraId="15AAB8DA">
      <w:pPr>
        <w:adjustRightInd w:val="0"/>
        <w:snapToGrid w:val="0"/>
        <w:spacing w:line="360" w:lineRule="auto"/>
        <w:ind w:firstLine="330" w:firstLineChars="150"/>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rPr>
        <w:t xml:space="preserve"> 6.1.1 项目安全生产的达标目标及相应事项的约定：</w:t>
      </w:r>
      <w:r>
        <w:rPr>
          <w:rStyle w:val="285"/>
          <w:rFonts w:hint="eastAsia" w:ascii="仿宋" w:hAnsi="仿宋" w:eastAsia="仿宋" w:cs="仿宋"/>
          <w:sz w:val="22"/>
          <w:szCs w:val="32"/>
          <w:u w:val="single"/>
        </w:rPr>
        <w:t>（1）承包人应遵守国家、地方现行工程建设安全生产有关管理规定，严格按安全标准实行文明施工管理，并随时接受行政监督机构及其安全检查人员依法实施的监督检查。</w:t>
      </w:r>
      <w:r>
        <w:rPr>
          <w:rFonts w:hint="eastAsia" w:ascii="仿宋" w:hAnsi="仿宋" w:eastAsia="仿宋" w:cs="仿宋"/>
          <w:sz w:val="22"/>
          <w:u w:val="single"/>
        </w:rPr>
        <w:t>承包人必须服从发包人现场安全考核管理办法。</w:t>
      </w:r>
      <w:r>
        <w:rPr>
          <w:rStyle w:val="285"/>
          <w:rFonts w:hint="eastAsia" w:ascii="仿宋" w:hAnsi="仿宋" w:eastAsia="仿宋" w:cs="仿宋"/>
          <w:sz w:val="22"/>
          <w:szCs w:val="32"/>
          <w:u w:val="single"/>
        </w:rPr>
        <w:t xml:space="preserve">总承包单位对施工现场的安全施工负总责，专业工程承包单位应当服从总承包单位的安全施工管理 </w:t>
      </w:r>
      <w:r>
        <w:rPr>
          <w:rStyle w:val="285"/>
          <w:rFonts w:hint="eastAsia" w:ascii="仿宋" w:hAnsi="仿宋" w:eastAsia="仿宋" w:cs="仿宋"/>
          <w:sz w:val="22"/>
          <w:szCs w:val="32"/>
        </w:rPr>
        <w:t>。</w:t>
      </w:r>
    </w:p>
    <w:p w14:paraId="51822DE5">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（2）承包人负责施工现场的第三方人身财产安全。发包人和承包人需携带标示或胸牌或由发包人和承包人带领下方能出入现场，否则一律不得随意出入</w:t>
      </w:r>
      <w:r>
        <w:rPr>
          <w:rStyle w:val="285"/>
          <w:rFonts w:hint="eastAsia" w:ascii="仿宋" w:hAnsi="仿宋" w:eastAsia="仿宋" w:cs="仿宋"/>
          <w:sz w:val="22"/>
          <w:szCs w:val="32"/>
        </w:rPr>
        <w:t>。</w:t>
      </w:r>
    </w:p>
    <w:p w14:paraId="0A278951">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3）除执行通用条款的相关规定外，承包人应按规范施工并严格按照施工组织设计组织施工，在安全管理方面除正常进行安全学习、安全教育外，同时应高度重视工程施工时的安全工作，安全措施要落实到位，应急措施必须跟上，对于不重视安全工作，措施不到位，发生安全事故的，承包人须承担全部责任，并承担所有赔偿费用</w:t>
      </w:r>
      <w:r>
        <w:rPr>
          <w:rStyle w:val="285"/>
          <w:rFonts w:hint="eastAsia" w:ascii="仿宋" w:hAnsi="仿宋" w:eastAsia="仿宋" w:cs="仿宋"/>
          <w:sz w:val="22"/>
          <w:szCs w:val="32"/>
        </w:rPr>
        <w:t>。 </w:t>
      </w:r>
    </w:p>
    <w:p w14:paraId="29CB9F6D">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（4）发包人不得要求承包人违反安全管理的规定进行施工。因发包人原因导致的安全事故，由发包人承担相应责任及费用。</w:t>
      </w:r>
      <w:r>
        <w:rPr>
          <w:rFonts w:hint="eastAsia" w:ascii="仿宋" w:hAnsi="仿宋" w:eastAsia="仿宋" w:cs="仿宋"/>
          <w:sz w:val="22"/>
          <w:u w:val="single"/>
        </w:rPr>
        <w:t>承包人应保证在整个合同履行过程中所用的全部工器具、设备、施工机械及现场设施等的安全、性能和状态完好，能够实现预定的作用，满足合同约定和业主代表的合理要求。与工程有关的大、中型施工机械、现场变配电设备以及重要施工器具等的检修、维护须提前7天通知发包人、监理工程师。</w:t>
      </w:r>
      <w:r>
        <w:rPr>
          <w:rStyle w:val="285"/>
          <w:rFonts w:hint="eastAsia" w:ascii="仿宋" w:hAnsi="仿宋" w:eastAsia="仿宋" w:cs="仿宋"/>
          <w:sz w:val="22"/>
          <w:szCs w:val="32"/>
          <w:u w:val="single"/>
        </w:rPr>
        <w:t>因承包人原因造成人员伤亡或机具损坏而导致停工，承包人承担1000元/天的违约金，且工期不予顺延，同时发包人还保留进一步索赔的权利</w:t>
      </w:r>
      <w:r>
        <w:rPr>
          <w:rStyle w:val="285"/>
          <w:rFonts w:hint="eastAsia" w:ascii="仿宋" w:hAnsi="仿宋" w:eastAsia="仿宋" w:cs="仿宋"/>
          <w:sz w:val="22"/>
          <w:szCs w:val="32"/>
        </w:rPr>
        <w:t>。</w:t>
      </w:r>
    </w:p>
    <w:p w14:paraId="03AFD884">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（5）实施爆破作业，使用毒害性、腐蚀性物品施工时，承包人应在施工前7天以书面通知发包人和监理人，并向相关管理部门报送相应的安全防护措施，经审查认可后实施</w:t>
      </w:r>
      <w:r>
        <w:rPr>
          <w:rStyle w:val="285"/>
          <w:rFonts w:hint="eastAsia" w:ascii="仿宋" w:hAnsi="仿宋" w:eastAsia="仿宋" w:cs="仿宋"/>
          <w:sz w:val="22"/>
          <w:szCs w:val="32"/>
        </w:rPr>
        <w:t>。</w:t>
      </w:r>
    </w:p>
    <w:p w14:paraId="0C11F11C">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u w:val="single"/>
        </w:rPr>
        <w:t>（6）需单独编制危险性较大分部分项专项工程施工方案的，及要求进行专家论证的分部分项工程，承包人应及时编制和组织论证，由此产生的费用由承包人承担。方案经过论证方可实施</w:t>
      </w:r>
      <w:r>
        <w:rPr>
          <w:rStyle w:val="285"/>
          <w:rFonts w:hint="eastAsia" w:ascii="仿宋" w:hAnsi="仿宋" w:eastAsia="仿宋" w:cs="仿宋"/>
          <w:sz w:val="22"/>
          <w:szCs w:val="32"/>
        </w:rPr>
        <w:t>。</w:t>
      </w:r>
    </w:p>
    <w:p w14:paraId="275B78A5">
      <w:pPr>
        <w:adjustRightInd w:val="0"/>
        <w:snapToGrid w:val="0"/>
        <w:spacing w:line="360" w:lineRule="auto"/>
        <w:jc w:val="left"/>
        <w:rPr>
          <w:rStyle w:val="285"/>
          <w:rFonts w:hint="eastAsia" w:ascii="仿宋" w:hAnsi="仿宋" w:eastAsia="仿宋" w:cs="仿宋"/>
          <w:sz w:val="22"/>
          <w:szCs w:val="32"/>
          <w:u w:val="single"/>
        </w:rPr>
      </w:pPr>
      <w:r>
        <w:rPr>
          <w:rStyle w:val="285"/>
          <w:rFonts w:hint="eastAsia" w:ascii="仿宋" w:hAnsi="仿宋" w:eastAsia="仿宋" w:cs="仿宋"/>
          <w:sz w:val="22"/>
          <w:szCs w:val="32"/>
        </w:rPr>
        <w:t xml:space="preserve">    6.1.4 关于治安保卫的特别约定：</w:t>
      </w:r>
      <w:r>
        <w:rPr>
          <w:rStyle w:val="285"/>
          <w:rFonts w:hint="eastAsia" w:ascii="仿宋" w:hAnsi="仿宋" w:eastAsia="仿宋" w:cs="仿宋"/>
          <w:sz w:val="22"/>
          <w:szCs w:val="32"/>
          <w:u w:val="single"/>
        </w:rPr>
        <w:t>承包人应保证在整个合同履行期间中不发生治安或刑事案件，妥善保护好施工现场人员人身及财产安全</w:t>
      </w:r>
      <w:r>
        <w:rPr>
          <w:rStyle w:val="285"/>
          <w:rFonts w:hint="eastAsia" w:ascii="仿宋" w:hAnsi="仿宋" w:eastAsia="仿宋" w:cs="仿宋"/>
          <w:sz w:val="22"/>
          <w:szCs w:val="32"/>
        </w:rPr>
        <w:t>。</w:t>
      </w:r>
    </w:p>
    <w:p w14:paraId="7B3011A1">
      <w:pPr>
        <w:adjustRightInd w:val="0"/>
        <w:snapToGrid w:val="0"/>
        <w:spacing w:line="360" w:lineRule="auto"/>
        <w:ind w:firstLine="440" w:firstLineChars="200"/>
        <w:jc w:val="left"/>
        <w:rPr>
          <w:rFonts w:hint="eastAsia" w:ascii="仿宋" w:hAnsi="仿宋" w:eastAsia="仿宋" w:cs="仿宋"/>
          <w:sz w:val="22"/>
          <w:szCs w:val="32"/>
        </w:rPr>
      </w:pPr>
      <w:r>
        <w:rPr>
          <w:rFonts w:hint="eastAsia" w:ascii="仿宋" w:hAnsi="仿宋" w:eastAsia="仿宋" w:cs="仿宋"/>
          <w:sz w:val="22"/>
          <w:u w:val="single"/>
        </w:rPr>
        <w:t xml:space="preserve">（1）承包人应做好包括生活区在内的施工场地的治安保卫工作，承包人的安全保卫工作，应满足现场施工管理的需要，达到政府有关规定的要求及承包人承诺，负责施工人员的治安教育和施工安全教育工作，建立健全行之有效的防火管理制度，对火灾易发区域应采取特殊的消防安全措施，确保职工食堂卫生安全和饮水设施的安全可靠，按照现行规范执行确保施工现场的临时用电安全。必须杜绝一切事故，承包人负责承担因措施不力、管理不善而发生的事故责任 </w:t>
      </w:r>
      <w:r>
        <w:rPr>
          <w:rFonts w:hint="eastAsia" w:ascii="仿宋" w:hAnsi="仿宋" w:eastAsia="仿宋" w:cs="仿宋"/>
          <w:sz w:val="22"/>
        </w:rPr>
        <w:t>。</w:t>
      </w:r>
    </w:p>
    <w:p w14:paraId="7E21367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承担施工安全保卫工作及非夜间施工照明的责任和要求，承包人必须承担施工安全保卫的责任，禁止无关的外单位施工车辆、人员出入工地，施工现场的照明由承包人负责解决，费用已含在签约合同价中。现场发生偷盗等造成的损失，责任由承包人承担</w:t>
      </w:r>
      <w:r>
        <w:rPr>
          <w:rFonts w:hint="eastAsia" w:ascii="仿宋" w:hAnsi="仿宋" w:eastAsia="仿宋" w:cs="仿宋"/>
          <w:sz w:val="22"/>
        </w:rPr>
        <w:t xml:space="preserve">。  </w:t>
      </w:r>
    </w:p>
    <w:p w14:paraId="5B33392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（3）承包人应负责处理有关施工扰民与民扰问题。因场地管理不善引发的一切纠纷由承包人自行解决，发包人不承担任何责任</w:t>
      </w:r>
      <w:r>
        <w:rPr>
          <w:rFonts w:hint="eastAsia" w:ascii="仿宋" w:hAnsi="仿宋" w:eastAsia="仿宋" w:cs="仿宋"/>
          <w:sz w:val="22"/>
        </w:rPr>
        <w:t>。</w:t>
      </w:r>
    </w:p>
    <w:p w14:paraId="5723DFAF">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关于编制施工场地治安管理计划的约定：</w:t>
      </w:r>
      <w:r>
        <w:rPr>
          <w:rFonts w:hint="eastAsia" w:ascii="仿宋" w:hAnsi="仿宋" w:eastAsia="仿宋" w:cs="仿宋"/>
          <w:sz w:val="22"/>
          <w:u w:val="single"/>
        </w:rPr>
        <w:t>关于编制施工场地治安管理计划的约定：在工程开工后7天内编制并向发包人提交施工场地治安管理计划和应对突发治安事件的紧急预案</w:t>
      </w:r>
      <w:r>
        <w:rPr>
          <w:rFonts w:hint="eastAsia" w:ascii="仿宋" w:hAnsi="仿宋" w:eastAsia="仿宋" w:cs="仿宋"/>
          <w:sz w:val="22"/>
        </w:rPr>
        <w:t>。</w:t>
      </w:r>
    </w:p>
    <w:p w14:paraId="164932F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6.1.5 文明施工</w:t>
      </w:r>
    </w:p>
    <w:p w14:paraId="1134E0E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合同当事人对文明施工的要求：</w:t>
      </w:r>
      <w:r>
        <w:rPr>
          <w:rFonts w:hint="eastAsia" w:ascii="仿宋" w:hAnsi="仿宋" w:eastAsia="仿宋" w:cs="仿宋"/>
          <w:sz w:val="22"/>
          <w:u w:val="single"/>
        </w:rPr>
        <w:t>承包人必须按照《南京市建设工程施工现场管理办法》和南京市政府第287号令关于《南京市扬尘污染防治管理办法》的规定以及江宁政办发（2007）157号文规定的标准实行文明施工管理。如由于承包人原因，发包人受到区级及以上行政主管部门处罚，每发生一次，承包人应向发包人支付违约金10000元，并承担由此造成的一切责任和费用。</w:t>
      </w:r>
    </w:p>
    <w:p w14:paraId="34A5007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（1）整个施工期间杜绝一切人身伤亡和重大质量安全事故，如发生上述事故，则发包人可视为承包人违约，承包人需承担相关责任并赔偿所有损失同时支付违约金20000元/次</w:t>
      </w:r>
      <w:r>
        <w:rPr>
          <w:rFonts w:hint="eastAsia" w:ascii="仿宋" w:hAnsi="仿宋" w:eastAsia="仿宋" w:cs="仿宋"/>
          <w:sz w:val="22"/>
        </w:rPr>
        <w:t>。</w:t>
      </w:r>
    </w:p>
    <w:p w14:paraId="390ED8ED">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（2）应与周边居民和相邻标段的各承包人处理好各方面关系，自觉做到文明施工，在施工过程中如遇不符合操作规程和相关规定的，承包人必须无条件服从发包人或监理的统一协调</w:t>
      </w:r>
      <w:r>
        <w:rPr>
          <w:rFonts w:hint="eastAsia" w:ascii="仿宋" w:hAnsi="仿宋" w:eastAsia="仿宋" w:cs="仿宋"/>
          <w:sz w:val="22"/>
        </w:rPr>
        <w:t>。</w:t>
      </w:r>
    </w:p>
    <w:p w14:paraId="09A4C8D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施工过程中涉及到交通、市容、城建城管、消防、治安、人口管理等需办理相关手续的由承包人负责按规定办理有关手续、承担有关费用，该费用已含在签约合同价中。需发包人配合的，发包人提供必要的配合。</w:t>
      </w:r>
    </w:p>
    <w:p w14:paraId="11B9207F">
      <w:pPr>
        <w:adjustRightInd w:val="0"/>
        <w:snapToGrid w:val="0"/>
        <w:spacing w:line="360" w:lineRule="auto"/>
        <w:ind w:firstLine="390" w:firstLineChars="150"/>
        <w:jc w:val="left"/>
        <w:rPr>
          <w:rFonts w:hint="eastAsia" w:ascii="仿宋" w:hAnsi="仿宋" w:eastAsia="仿宋" w:cs="仿宋"/>
          <w:sz w:val="22"/>
          <w:u w:val="single"/>
        </w:rPr>
      </w:pPr>
      <w:r>
        <w:rPr>
          <w:rFonts w:hint="eastAsia" w:ascii="仿宋" w:hAnsi="仿宋" w:eastAsia="仿宋" w:cs="仿宋"/>
          <w:spacing w:val="20"/>
          <w:sz w:val="22"/>
          <w:u w:val="single"/>
        </w:rPr>
        <w:t>（4）环境保护税（原工程排污费）：签约合同价中已按0.1%计入，结算时，按南京市环保、税务部门实际规定调整，发包人不再为此支付额外费用。</w:t>
      </w:r>
    </w:p>
    <w:p w14:paraId="0620537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（5）施工现场清洁文明的要求： </w:t>
      </w:r>
    </w:p>
    <w:p w14:paraId="212E15C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A、承包人所有人员进入工地后必须遵守市容等有关主管部门及发包人管理规定，做到文明施工、规范施工。承包人违反规定造成的损失和罚款由承包人负责</w:t>
      </w:r>
      <w:r>
        <w:rPr>
          <w:rFonts w:hint="eastAsia" w:ascii="仿宋" w:hAnsi="仿宋" w:eastAsia="仿宋" w:cs="仿宋"/>
          <w:sz w:val="22"/>
        </w:rPr>
        <w:t>。</w:t>
      </w:r>
    </w:p>
    <w:p w14:paraId="00074E1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施工现场入口处应悬挂宣传标语横幅。承包人的所有雇员和代表都应穿戴整齐，行为文明。要佩带由承包人提供的工作证，工作证上应标明姓名、职务、身份及编号，在现场期间应一直佩带在胸前。承包人的所有机械及设备都应醒目地标注承包人的名称</w:t>
      </w:r>
      <w:r>
        <w:rPr>
          <w:rFonts w:hint="eastAsia" w:ascii="仿宋" w:hAnsi="仿宋" w:eastAsia="仿宋" w:cs="仿宋"/>
          <w:sz w:val="22"/>
        </w:rPr>
        <w:t>。</w:t>
      </w:r>
    </w:p>
    <w:p w14:paraId="334A879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 C、生活区与施工区分开。承包人必须保持场地整洁卫生，制定生活和环境卫生管理制度，保证职工宿舍卫生和食堂的饮食卫生。临时搭建须经业主批准，且应整齐美观。临时设施使用彩钢板搭设、现场办公设施使用彩钢夹芯板搭设（发包人提供的现有用房除外）；道路及场地满足标化现场硬化要求；围挡必须满足市容部门要求。</w:t>
      </w:r>
    </w:p>
    <w:p w14:paraId="4D3F91A7">
      <w:pPr>
        <w:adjustRightInd w:val="0"/>
        <w:snapToGrid w:val="0"/>
        <w:spacing w:line="360" w:lineRule="auto"/>
        <w:ind w:firstLine="330" w:firstLineChars="150"/>
        <w:jc w:val="left"/>
        <w:rPr>
          <w:rFonts w:hint="eastAsia" w:ascii="仿宋" w:hAnsi="仿宋" w:eastAsia="仿宋" w:cs="仿宋"/>
          <w:sz w:val="22"/>
          <w:u w:val="single"/>
        </w:rPr>
      </w:pPr>
      <w:r>
        <w:rPr>
          <w:rFonts w:hint="eastAsia" w:ascii="仿宋" w:hAnsi="仿宋" w:eastAsia="仿宋" w:cs="仿宋"/>
          <w:sz w:val="22"/>
          <w:u w:val="single"/>
        </w:rPr>
        <w:t xml:space="preserve"> D、承包人须设置水冲式厕所，并做好厕所保洁工作。场地雨水和施工地下水排入发包人指定的排水沟或排水井内。所有的废水、污水排放应按批准的方法处理后排入排污系统，不得污染环境，由此而引起的后果由承包人自行解决。</w:t>
      </w:r>
    </w:p>
    <w:p w14:paraId="1AC3A23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E、施工期间产生的生活垃圾等，承包人必须跟清管所签订协议，依据清管所的要求和规定清运垃圾，费用由承包人承担，结算时不作调整。</w:t>
      </w:r>
    </w:p>
    <w:p w14:paraId="5E31E23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F、现场的临时设施等，由承包人负责建设，在退场前7个工作日前自行拆除遗留的临时设施等并清理外运，在原地进行素土回填。费用由承包人承担，结算时不作调整。</w:t>
      </w:r>
    </w:p>
    <w:p w14:paraId="3ABFCBC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（6）承包人必须服从发包人现场安全考核管理办法。总承包单位对施工现场的文明施工负总责，专业工程承包单位应当服从总承包单位的文明施工管理。</w:t>
      </w:r>
    </w:p>
    <w:p w14:paraId="6AF9071A">
      <w:pPr>
        <w:adjustRightInd w:val="0"/>
        <w:snapToGrid w:val="0"/>
        <w:spacing w:line="360" w:lineRule="auto"/>
        <w:ind w:firstLine="550" w:firstLineChars="250"/>
        <w:jc w:val="left"/>
        <w:rPr>
          <w:rFonts w:hint="eastAsia" w:ascii="仿宋" w:hAnsi="仿宋" w:eastAsia="仿宋" w:cs="仿宋"/>
          <w:sz w:val="22"/>
        </w:rPr>
      </w:pPr>
      <w:r>
        <w:rPr>
          <w:rFonts w:hint="eastAsia" w:ascii="仿宋" w:hAnsi="仿宋" w:eastAsia="仿宋" w:cs="仿宋"/>
          <w:sz w:val="22"/>
        </w:rPr>
        <w:t>6.1.6 关于安全文明施工费支付比例和支付期限的约定：</w:t>
      </w:r>
      <w:bookmarkEnd w:id="321"/>
      <w:bookmarkEnd w:id="322"/>
      <w:bookmarkEnd w:id="323"/>
      <w:bookmarkEnd w:id="324"/>
      <w:bookmarkEnd w:id="325"/>
      <w:bookmarkEnd w:id="326"/>
      <w:bookmarkEnd w:id="327"/>
      <w:bookmarkStart w:id="329" w:name="_Toc351203639"/>
      <w:r>
        <w:rPr>
          <w:rFonts w:hint="eastAsia" w:ascii="仿宋" w:hAnsi="仿宋" w:eastAsia="仿宋" w:cs="仿宋"/>
          <w:sz w:val="22"/>
        </w:rPr>
        <w:t>根据苏建价(2005)349号《江苏省建设工程现场安全文明施工措施费计价管理办法》，</w:t>
      </w:r>
      <w:r>
        <w:rPr>
          <w:rFonts w:hint="eastAsia" w:ascii="仿宋" w:hAnsi="仿宋" w:eastAsia="仿宋" w:cs="仿宋"/>
          <w:sz w:val="22"/>
          <w:u w:val="single"/>
        </w:rPr>
        <w:t>发包人在开工前向承包人预付现场安全文明施工措施费基本费的60%，其余基本费按进度在工程竣工前付清(发包人不单独支付该费用)。标化增加费凭标化工地验收相关证明材料，按省住建厅（2018）24号公告的标准在竣工结算中调整（承包人获得超过合同约定标化等次的，增加费按合同约定的标化等次执行）。承包人须保证专款专用并不得以此费用不足现场安全文明施工措施支出为由而减少现场安全文明施工措施的投入</w:t>
      </w:r>
      <w:r>
        <w:rPr>
          <w:rFonts w:hint="eastAsia" w:ascii="仿宋" w:hAnsi="仿宋" w:eastAsia="仿宋" w:cs="仿宋"/>
          <w:sz w:val="22"/>
        </w:rPr>
        <w:t>。</w:t>
      </w:r>
    </w:p>
    <w:p w14:paraId="6E9255AC">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7. 工期和进度</w:t>
      </w:r>
      <w:bookmarkEnd w:id="329"/>
    </w:p>
    <w:p w14:paraId="7EED909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7.1 施工组织设计</w:t>
      </w:r>
    </w:p>
    <w:p w14:paraId="7AD1848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7.1.1 合同当事人约定的施工组织设计应包括的其他内容：</w:t>
      </w:r>
      <w:r>
        <w:rPr>
          <w:rFonts w:hint="eastAsia" w:ascii="仿宋" w:hAnsi="仿宋" w:eastAsia="仿宋" w:cs="仿宋"/>
          <w:sz w:val="22"/>
          <w:u w:val="single"/>
        </w:rPr>
        <w:t>按通用条款执行</w:t>
      </w:r>
      <w:r>
        <w:rPr>
          <w:rFonts w:hint="eastAsia" w:ascii="仿宋" w:hAnsi="仿宋" w:eastAsia="仿宋" w:cs="仿宋"/>
          <w:sz w:val="22"/>
        </w:rPr>
        <w:t>。</w:t>
      </w:r>
    </w:p>
    <w:p w14:paraId="52D59FA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7.1.2 施工组织设计的提交和修改</w:t>
      </w:r>
    </w:p>
    <w:p w14:paraId="685BCD6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承包人提交详细施工组织设计的期限的约定：</w:t>
      </w:r>
      <w:r>
        <w:rPr>
          <w:rFonts w:hint="eastAsia" w:ascii="仿宋" w:hAnsi="仿宋" w:eastAsia="仿宋" w:cs="仿宋"/>
          <w:sz w:val="22"/>
          <w:u w:val="single"/>
        </w:rPr>
        <w:t xml:space="preserve">承包人应开工前七天提交详细的施工组织设计及文明施工标化现场方案报监理人和发包人 </w:t>
      </w:r>
      <w:r>
        <w:rPr>
          <w:rFonts w:hint="eastAsia" w:ascii="仿宋" w:hAnsi="仿宋" w:eastAsia="仿宋" w:cs="仿宋"/>
          <w:sz w:val="22"/>
        </w:rPr>
        <w:t>。</w:t>
      </w:r>
    </w:p>
    <w:p w14:paraId="24E481B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发包人和监理人在收到详细的施工组织设计后确认或提出修改意见的期限：</w:t>
      </w:r>
      <w:r>
        <w:rPr>
          <w:rFonts w:hint="eastAsia" w:ascii="仿宋" w:hAnsi="仿宋" w:eastAsia="仿宋" w:cs="仿宋"/>
          <w:sz w:val="22"/>
          <w:u w:val="single"/>
        </w:rPr>
        <w:t>收到意见书后7天</w:t>
      </w:r>
      <w:r>
        <w:rPr>
          <w:rFonts w:hint="eastAsia" w:ascii="仿宋" w:hAnsi="仿宋" w:eastAsia="仿宋" w:cs="仿宋"/>
          <w:sz w:val="22"/>
        </w:rPr>
        <w:t>。</w:t>
      </w:r>
    </w:p>
    <w:p w14:paraId="6D50853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w:t>
      </w:r>
      <w:bookmarkStart w:id="330" w:name="_Toc312678005"/>
      <w:bookmarkStart w:id="331" w:name="_Toc303539123"/>
      <w:bookmarkStart w:id="332" w:name="_Toc297216173"/>
      <w:bookmarkStart w:id="333" w:name="_Toc312677479"/>
      <w:bookmarkStart w:id="334" w:name="_Toc300934966"/>
      <w:bookmarkStart w:id="335" w:name="_Toc304295541"/>
      <w:bookmarkStart w:id="336" w:name="_Toc297123514"/>
      <w:r>
        <w:rPr>
          <w:rFonts w:hint="eastAsia" w:ascii="仿宋" w:hAnsi="仿宋" w:eastAsia="仿宋" w:cs="仿宋"/>
          <w:sz w:val="22"/>
        </w:rPr>
        <w:t>.2 施工进度计划</w:t>
      </w:r>
    </w:p>
    <w:p w14:paraId="4513A35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7.2.2 施工进度计划的修订</w:t>
      </w:r>
    </w:p>
    <w:p w14:paraId="1D6E0CF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发包人和监理人在收到修订的施工进度计划后确认或提出修改意见的期限：</w:t>
      </w:r>
      <w:r>
        <w:rPr>
          <w:rFonts w:hint="eastAsia" w:ascii="仿宋" w:hAnsi="仿宋" w:eastAsia="仿宋" w:cs="仿宋"/>
          <w:sz w:val="22"/>
          <w:u w:val="single"/>
        </w:rPr>
        <w:t>收到意见书后7天</w:t>
      </w:r>
      <w:r>
        <w:rPr>
          <w:rFonts w:hint="eastAsia" w:ascii="仿宋" w:hAnsi="仿宋" w:eastAsia="仿宋" w:cs="仿宋"/>
          <w:sz w:val="22"/>
        </w:rPr>
        <w:t>。</w:t>
      </w:r>
    </w:p>
    <w:p w14:paraId="21F3F05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7.3 开工</w:t>
      </w:r>
    </w:p>
    <w:p w14:paraId="2659061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7.3.1 开工准备</w:t>
      </w:r>
    </w:p>
    <w:p w14:paraId="404A6B54">
      <w:pPr>
        <w:adjustRightInd w:val="0"/>
        <w:snapToGrid w:val="0"/>
        <w:spacing w:line="360" w:lineRule="auto"/>
        <w:ind w:firstLine="645"/>
        <w:jc w:val="left"/>
        <w:rPr>
          <w:rFonts w:hint="eastAsia" w:ascii="仿宋" w:hAnsi="仿宋" w:eastAsia="仿宋" w:cs="仿宋"/>
          <w:sz w:val="22"/>
          <w:u w:val="single"/>
        </w:rPr>
      </w:pPr>
      <w:r>
        <w:rPr>
          <w:rFonts w:hint="eastAsia" w:ascii="仿宋" w:hAnsi="仿宋" w:eastAsia="仿宋" w:cs="仿宋"/>
          <w:sz w:val="22"/>
        </w:rPr>
        <w:t>关于承包人提交工程开工报审表的期限：</w:t>
      </w:r>
      <w:r>
        <w:rPr>
          <w:rFonts w:hint="eastAsia" w:ascii="仿宋" w:hAnsi="仿宋" w:eastAsia="仿宋" w:cs="仿宋"/>
          <w:sz w:val="22"/>
          <w:u w:val="single"/>
        </w:rPr>
        <w:t xml:space="preserve">计划开工前10日内 </w:t>
      </w:r>
      <w:r>
        <w:rPr>
          <w:rFonts w:hint="eastAsia" w:ascii="仿宋" w:hAnsi="仿宋" w:eastAsia="仿宋" w:cs="仿宋"/>
          <w:sz w:val="22"/>
        </w:rPr>
        <w:t>。</w:t>
      </w:r>
    </w:p>
    <w:p w14:paraId="0204555A">
      <w:pPr>
        <w:adjustRightInd w:val="0"/>
        <w:snapToGrid w:val="0"/>
        <w:spacing w:line="360" w:lineRule="auto"/>
        <w:ind w:firstLine="645"/>
        <w:jc w:val="left"/>
        <w:rPr>
          <w:rFonts w:hint="eastAsia" w:ascii="仿宋" w:hAnsi="仿宋" w:eastAsia="仿宋" w:cs="仿宋"/>
          <w:sz w:val="22"/>
        </w:rPr>
      </w:pPr>
      <w:r>
        <w:rPr>
          <w:rFonts w:hint="eastAsia" w:ascii="仿宋" w:hAnsi="仿宋" w:eastAsia="仿宋" w:cs="仿宋"/>
          <w:sz w:val="22"/>
        </w:rPr>
        <w:t>关于发包人应完成的其他开工准备工作及期限：</w:t>
      </w:r>
      <w:r>
        <w:rPr>
          <w:rFonts w:hint="eastAsia" w:ascii="仿宋" w:hAnsi="仿宋" w:eastAsia="仿宋" w:cs="仿宋"/>
          <w:sz w:val="22"/>
          <w:u w:val="single"/>
        </w:rPr>
        <w:t>双方协商办理</w:t>
      </w:r>
      <w:r>
        <w:rPr>
          <w:rFonts w:hint="eastAsia" w:ascii="仿宋" w:hAnsi="仿宋" w:eastAsia="仿宋" w:cs="仿宋"/>
          <w:sz w:val="22"/>
        </w:rPr>
        <w:t>。</w:t>
      </w:r>
    </w:p>
    <w:p w14:paraId="7B4B1D62">
      <w:pPr>
        <w:adjustRightInd w:val="0"/>
        <w:snapToGrid w:val="0"/>
        <w:spacing w:line="360" w:lineRule="auto"/>
        <w:ind w:firstLine="550" w:firstLineChars="250"/>
        <w:jc w:val="left"/>
        <w:rPr>
          <w:rFonts w:hint="eastAsia" w:ascii="仿宋" w:hAnsi="仿宋" w:eastAsia="仿宋" w:cs="仿宋"/>
          <w:sz w:val="22"/>
          <w:u w:val="single"/>
        </w:rPr>
      </w:pPr>
      <w:r>
        <w:rPr>
          <w:rFonts w:hint="eastAsia" w:ascii="仿宋" w:hAnsi="仿宋" w:eastAsia="仿宋" w:cs="仿宋"/>
          <w:sz w:val="22"/>
        </w:rPr>
        <w:t>关于承包人应完成的其他开工准备工作及期限：</w:t>
      </w:r>
      <w:r>
        <w:rPr>
          <w:rFonts w:hint="eastAsia" w:ascii="仿宋" w:hAnsi="仿宋" w:eastAsia="仿宋" w:cs="仿宋"/>
          <w:sz w:val="22"/>
          <w:u w:val="single"/>
        </w:rPr>
        <w:t>承包人应于开工一周前完成的准备工作包括但不限于：编制施工组织计划；进行图纸审查及深化；签订材料采购合同；签订工程设备采购或租赁合同；拟定劳动力、材料、工程设备的进场计划；修建合同约定应有其修建的临时设施；修建合同约定应由其修建的道路等。</w:t>
      </w:r>
    </w:p>
    <w:p w14:paraId="0BB3219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7.3.2开工通知</w:t>
      </w:r>
    </w:p>
    <w:p w14:paraId="721C079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因发包人原因造成监理人未能在计划开工日期之日起</w:t>
      </w:r>
      <w:r>
        <w:rPr>
          <w:rFonts w:hint="eastAsia" w:ascii="仿宋" w:hAnsi="仿宋" w:eastAsia="仿宋" w:cs="仿宋"/>
          <w:sz w:val="22"/>
          <w:u w:val="single"/>
        </w:rPr>
        <w:t xml:space="preserve"> 90 </w:t>
      </w:r>
      <w:r>
        <w:rPr>
          <w:rFonts w:hint="eastAsia" w:ascii="仿宋" w:hAnsi="仿宋" w:eastAsia="仿宋" w:cs="仿宋"/>
          <w:sz w:val="22"/>
        </w:rPr>
        <w:t>天内发出开工通知的，承包人有权提出价格调整要求，或者解除合同。</w:t>
      </w:r>
    </w:p>
    <w:bookmarkEnd w:id="330"/>
    <w:bookmarkEnd w:id="331"/>
    <w:bookmarkEnd w:id="332"/>
    <w:bookmarkEnd w:id="333"/>
    <w:bookmarkEnd w:id="334"/>
    <w:bookmarkEnd w:id="335"/>
    <w:bookmarkEnd w:id="336"/>
    <w:p w14:paraId="385C7AC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7.4 测量放线</w:t>
      </w:r>
    </w:p>
    <w:p w14:paraId="4EE02559">
      <w:pPr>
        <w:pStyle w:val="41"/>
        <w:spacing w:line="360" w:lineRule="auto"/>
        <w:ind w:firstLine="440" w:firstLineChars="200"/>
        <w:rPr>
          <w:rFonts w:hint="eastAsia" w:ascii="仿宋" w:hAnsi="仿宋" w:eastAsia="仿宋" w:cs="仿宋"/>
          <w:kern w:val="2"/>
          <w:sz w:val="22"/>
          <w:u w:val="single"/>
        </w:rPr>
      </w:pPr>
      <w:r>
        <w:rPr>
          <w:rFonts w:hint="eastAsia" w:ascii="仿宋" w:hAnsi="仿宋" w:eastAsia="仿宋" w:cs="仿宋"/>
          <w:sz w:val="22"/>
        </w:rPr>
        <w:t>7.4.1发包人通过监理人向承包人提供测量基准点、基准线和水准点及其书面资料的期限：</w:t>
      </w:r>
      <w:r>
        <w:rPr>
          <w:rFonts w:hint="eastAsia" w:ascii="仿宋" w:hAnsi="仿宋" w:eastAsia="仿宋" w:cs="仿宋"/>
          <w:kern w:val="2"/>
          <w:sz w:val="22"/>
          <w:u w:val="single"/>
        </w:rPr>
        <w:t>开工日期前7天。发包人以书面形式向承包人提供水准点与坐标控制点，由发包人、承包人和监理单位三方人员对水准点与坐标控制点数据进行现场交验。交验完毕，即由承包人负责保护，此后由于破坏或失准带来的重新测量、放点费用及由此造成的其他损失均由承包人承担</w:t>
      </w:r>
      <w:r>
        <w:rPr>
          <w:rFonts w:hint="eastAsia" w:ascii="仿宋" w:hAnsi="仿宋" w:eastAsia="仿宋" w:cs="仿宋"/>
          <w:kern w:val="2"/>
          <w:sz w:val="22"/>
        </w:rPr>
        <w:t>。</w:t>
      </w:r>
    </w:p>
    <w:p w14:paraId="0805B27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w:t>
      </w:r>
      <w:bookmarkStart w:id="337" w:name="_Toc312678010"/>
      <w:bookmarkStart w:id="338" w:name="_Toc303539125"/>
      <w:bookmarkStart w:id="339" w:name="_Toc297216175"/>
      <w:bookmarkStart w:id="340" w:name="_Toc312677484"/>
      <w:bookmarkStart w:id="341" w:name="_Toc300934968"/>
      <w:bookmarkStart w:id="342" w:name="_Toc304295546"/>
      <w:bookmarkStart w:id="343" w:name="_Toc297123516"/>
      <w:r>
        <w:rPr>
          <w:rFonts w:hint="eastAsia" w:ascii="仿宋" w:hAnsi="仿宋" w:eastAsia="仿宋" w:cs="仿宋"/>
          <w:sz w:val="22"/>
        </w:rPr>
        <w:t>.5 工期延误</w:t>
      </w:r>
    </w:p>
    <w:bookmarkEnd w:id="337"/>
    <w:bookmarkEnd w:id="338"/>
    <w:bookmarkEnd w:id="339"/>
    <w:bookmarkEnd w:id="340"/>
    <w:bookmarkEnd w:id="341"/>
    <w:bookmarkEnd w:id="342"/>
    <w:bookmarkEnd w:id="343"/>
    <w:p w14:paraId="5D9CE8C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7.5.1 因发包人原因导致工期延误</w:t>
      </w:r>
    </w:p>
    <w:p w14:paraId="679B2129">
      <w:pPr>
        <w:adjustRightInd w:val="0"/>
        <w:snapToGrid w:val="0"/>
        <w:spacing w:line="360" w:lineRule="auto"/>
        <w:ind w:firstLine="440" w:firstLineChars="200"/>
        <w:jc w:val="left"/>
        <w:rPr>
          <w:rFonts w:hint="eastAsia" w:ascii="仿宋" w:hAnsi="仿宋" w:eastAsia="仿宋" w:cs="仿宋"/>
          <w:sz w:val="22"/>
          <w:szCs w:val="32"/>
        </w:rPr>
      </w:pPr>
      <w:r>
        <w:rPr>
          <w:rFonts w:hint="eastAsia" w:ascii="仿宋" w:hAnsi="仿宋" w:eastAsia="仿宋" w:cs="仿宋"/>
          <w:sz w:val="22"/>
        </w:rPr>
        <w:t>（7）因发包人原因导致工期延误的其他情形：</w:t>
      </w:r>
      <w:r>
        <w:rPr>
          <w:rFonts w:hint="eastAsia" w:ascii="仿宋" w:hAnsi="仿宋" w:eastAsia="仿宋" w:cs="仿宋"/>
          <w:sz w:val="22"/>
          <w:szCs w:val="32"/>
          <w:u w:val="single"/>
        </w:rPr>
        <w:t>因发包人原因或者政府相关政策、要求等原因造成暂停施工的，承包人应积极配合发包人做好施工计划调整，并合理调整人员和施工机械，工期顺延，发包人不承担由此造成的损失，也不调增费用。</w:t>
      </w:r>
    </w:p>
    <w:p w14:paraId="4554204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w:t>
      </w:r>
      <w:bookmarkStart w:id="344" w:name="_Toc312677486"/>
      <w:bookmarkStart w:id="345" w:name="_Toc318581169"/>
      <w:bookmarkStart w:id="346" w:name="_Toc312678012"/>
      <w:bookmarkStart w:id="347" w:name="_Toc300934970"/>
      <w:bookmarkStart w:id="348" w:name="_Toc297216177"/>
      <w:bookmarkStart w:id="349" w:name="_Toc297123518"/>
      <w:bookmarkStart w:id="350" w:name="_Toc304295548"/>
      <w:bookmarkStart w:id="351" w:name="_Toc303539127"/>
      <w:r>
        <w:rPr>
          <w:rFonts w:hint="eastAsia" w:ascii="仿宋" w:hAnsi="仿宋" w:eastAsia="仿宋" w:cs="仿宋"/>
          <w:sz w:val="22"/>
        </w:rPr>
        <w:t>.5.2 因承包人原因导致工期延误</w:t>
      </w:r>
    </w:p>
    <w:bookmarkEnd w:id="344"/>
    <w:bookmarkEnd w:id="345"/>
    <w:bookmarkEnd w:id="346"/>
    <w:p w14:paraId="4767EDDC">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因</w:t>
      </w:r>
      <w:bookmarkStart w:id="352" w:name="_Toc312678013"/>
      <w:bookmarkStart w:id="353" w:name="_Toc318581170"/>
      <w:bookmarkStart w:id="354" w:name="_Toc312677487"/>
      <w:r>
        <w:rPr>
          <w:rFonts w:hint="eastAsia" w:ascii="仿宋" w:hAnsi="仿宋" w:eastAsia="仿宋" w:cs="仿宋"/>
          <w:sz w:val="22"/>
        </w:rPr>
        <w:t>承包人原因造成工期延误，逾期竣工违约金的计算方法为：</w:t>
      </w:r>
      <w:bookmarkEnd w:id="347"/>
      <w:bookmarkEnd w:id="348"/>
      <w:bookmarkEnd w:id="349"/>
      <w:bookmarkEnd w:id="350"/>
      <w:bookmarkEnd w:id="351"/>
      <w:bookmarkEnd w:id="352"/>
      <w:bookmarkEnd w:id="353"/>
      <w:bookmarkEnd w:id="354"/>
      <w:bookmarkStart w:id="355" w:name="_Toc312678014"/>
      <w:bookmarkStart w:id="356" w:name="_Toc318581171"/>
      <w:r>
        <w:rPr>
          <w:rFonts w:hint="eastAsia" w:ascii="仿宋" w:hAnsi="仿宋" w:eastAsia="仿宋" w:cs="仿宋"/>
          <w:sz w:val="22"/>
          <w:u w:val="single"/>
        </w:rPr>
        <w:t>违约金为合同价格的万分之三/天向发包人支付逾期竣工违约金，非发包人原因工期延误1/3总工期天以上，发包人有权解除合同并追究承包人延误工期由此造成的一切责任。</w:t>
      </w:r>
    </w:p>
    <w:p w14:paraId="791CDA2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因承包人原因造成工期延误，逾期竣工违约金的上限：</w:t>
      </w:r>
      <w:r>
        <w:rPr>
          <w:rFonts w:hint="eastAsia" w:ascii="仿宋" w:hAnsi="仿宋" w:eastAsia="仿宋" w:cs="仿宋"/>
          <w:sz w:val="22"/>
          <w:u w:val="single"/>
        </w:rPr>
        <w:t>/</w:t>
      </w:r>
      <w:r>
        <w:rPr>
          <w:rFonts w:hint="eastAsia" w:ascii="仿宋" w:hAnsi="仿宋" w:eastAsia="仿宋" w:cs="仿宋"/>
          <w:sz w:val="22"/>
        </w:rPr>
        <w:t>。</w:t>
      </w:r>
    </w:p>
    <w:bookmarkEnd w:id="355"/>
    <w:bookmarkEnd w:id="356"/>
    <w:p w14:paraId="62E8E93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w:t>
      </w:r>
      <w:bookmarkStart w:id="357" w:name="_Toc304295549"/>
      <w:bookmarkStart w:id="358" w:name="_Toc312678015"/>
      <w:bookmarkStart w:id="359" w:name="_Toc297216178"/>
      <w:bookmarkStart w:id="360" w:name="_Toc303539128"/>
      <w:bookmarkStart w:id="361" w:name="_Toc297123519"/>
      <w:bookmarkStart w:id="362" w:name="_Toc300934971"/>
      <w:r>
        <w:rPr>
          <w:rFonts w:hint="eastAsia" w:ascii="仿宋" w:hAnsi="仿宋" w:eastAsia="仿宋" w:cs="仿宋"/>
          <w:sz w:val="22"/>
        </w:rPr>
        <w:t>.6 不</w:t>
      </w:r>
      <w:bookmarkEnd w:id="357"/>
      <w:bookmarkEnd w:id="358"/>
      <w:bookmarkEnd w:id="359"/>
      <w:bookmarkEnd w:id="360"/>
      <w:bookmarkEnd w:id="361"/>
      <w:bookmarkEnd w:id="362"/>
      <w:r>
        <w:rPr>
          <w:rFonts w:hint="eastAsia" w:ascii="仿宋" w:hAnsi="仿宋" w:eastAsia="仿宋" w:cs="仿宋"/>
          <w:sz w:val="22"/>
        </w:rPr>
        <w:t>利物质条件</w:t>
      </w:r>
    </w:p>
    <w:p w14:paraId="1C480341">
      <w:pPr>
        <w:adjustRightInd w:val="0"/>
        <w:snapToGrid w:val="0"/>
        <w:spacing w:line="360" w:lineRule="auto"/>
        <w:ind w:firstLine="440" w:firstLineChars="200"/>
        <w:jc w:val="left"/>
        <w:rPr>
          <w:rFonts w:hint="eastAsia" w:ascii="仿宋" w:hAnsi="仿宋" w:eastAsia="仿宋" w:cs="仿宋"/>
          <w:sz w:val="22"/>
        </w:rPr>
      </w:pPr>
      <w:bookmarkStart w:id="363" w:name="_Toc303539129"/>
      <w:bookmarkStart w:id="364" w:name="_Toc297123520"/>
      <w:bookmarkStart w:id="365" w:name="_Toc304295550"/>
      <w:bookmarkStart w:id="366" w:name="_Toc312678016"/>
      <w:bookmarkStart w:id="367" w:name="_Toc297216179"/>
      <w:bookmarkStart w:id="368" w:name="_Toc318581172"/>
      <w:bookmarkStart w:id="369" w:name="_Toc300934972"/>
      <w:r>
        <w:rPr>
          <w:rFonts w:hint="eastAsia" w:ascii="仿宋" w:hAnsi="仿宋" w:eastAsia="仿宋" w:cs="仿宋"/>
          <w:sz w:val="22"/>
        </w:rPr>
        <w:t>不利物质条件的其他情形和有关约定：</w:t>
      </w:r>
      <w:r>
        <w:rPr>
          <w:rFonts w:hint="eastAsia" w:ascii="仿宋" w:hAnsi="仿宋" w:eastAsia="仿宋" w:cs="仿宋"/>
          <w:sz w:val="22"/>
          <w:u w:val="single"/>
        </w:rPr>
        <w:t xml:space="preserve">  /  </w:t>
      </w:r>
      <w:r>
        <w:rPr>
          <w:rFonts w:hint="eastAsia" w:ascii="仿宋" w:hAnsi="仿宋" w:eastAsia="仿宋" w:cs="仿宋"/>
          <w:sz w:val="22"/>
        </w:rPr>
        <w:t>。</w:t>
      </w:r>
    </w:p>
    <w:bookmarkEnd w:id="363"/>
    <w:bookmarkEnd w:id="364"/>
    <w:bookmarkEnd w:id="365"/>
    <w:bookmarkEnd w:id="366"/>
    <w:bookmarkEnd w:id="367"/>
    <w:bookmarkEnd w:id="368"/>
    <w:bookmarkEnd w:id="369"/>
    <w:p w14:paraId="11B19C6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w:t>
      </w:r>
      <w:bookmarkStart w:id="370" w:name="_Toc300934973"/>
      <w:bookmarkStart w:id="371" w:name="_Toc304295551"/>
      <w:bookmarkStart w:id="372" w:name="_Toc297123521"/>
      <w:bookmarkStart w:id="373" w:name="_Toc312678017"/>
      <w:bookmarkStart w:id="374" w:name="_Toc297216180"/>
      <w:bookmarkStart w:id="375" w:name="_Toc303539130"/>
      <w:r>
        <w:rPr>
          <w:rFonts w:hint="eastAsia" w:ascii="仿宋" w:hAnsi="仿宋" w:eastAsia="仿宋" w:cs="仿宋"/>
          <w:sz w:val="22"/>
        </w:rPr>
        <w:t>.7异常恶劣的气候条件</w:t>
      </w:r>
    </w:p>
    <w:bookmarkEnd w:id="370"/>
    <w:bookmarkEnd w:id="371"/>
    <w:bookmarkEnd w:id="372"/>
    <w:bookmarkEnd w:id="373"/>
    <w:bookmarkEnd w:id="374"/>
    <w:bookmarkEnd w:id="375"/>
    <w:p w14:paraId="65C9A8F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发包人和承包人书面同意以下情形视为异常恶劣的气候条件：</w:t>
      </w:r>
    </w:p>
    <w:p w14:paraId="04647A4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（1）6级以上持续24小时的大风 </w:t>
      </w:r>
      <w:r>
        <w:rPr>
          <w:rFonts w:hint="eastAsia" w:ascii="仿宋" w:hAnsi="仿宋" w:eastAsia="仿宋" w:cs="仿宋"/>
          <w:sz w:val="22"/>
        </w:rPr>
        <w:t>；</w:t>
      </w:r>
    </w:p>
    <w:p w14:paraId="1DB4C30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（2）持续降雨24小时且降雨量200 mm以上；持续降雪24小时且降雪量30mm以上 </w:t>
      </w:r>
      <w:r>
        <w:rPr>
          <w:rFonts w:hint="eastAsia" w:ascii="仿宋" w:hAnsi="仿宋" w:eastAsia="仿宋" w:cs="仿宋"/>
          <w:sz w:val="22"/>
        </w:rPr>
        <w:t>；</w:t>
      </w:r>
    </w:p>
    <w:p w14:paraId="3AA9A77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（3）40℃及以上持续24小时的高温 </w:t>
      </w:r>
      <w:r>
        <w:rPr>
          <w:rFonts w:hint="eastAsia" w:ascii="仿宋" w:hAnsi="仿宋" w:eastAsia="仿宋" w:cs="仿宋"/>
          <w:sz w:val="22"/>
        </w:rPr>
        <w:t>；</w:t>
      </w:r>
    </w:p>
    <w:p w14:paraId="198AA9F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（4）日降雨量大于50mm的雨日超过1天 </w:t>
      </w:r>
      <w:r>
        <w:rPr>
          <w:rFonts w:hint="eastAsia" w:ascii="仿宋" w:hAnsi="仿宋" w:eastAsia="仿宋" w:cs="仿宋"/>
          <w:sz w:val="22"/>
        </w:rPr>
        <w:t>；</w:t>
      </w:r>
    </w:p>
    <w:p w14:paraId="77A66C5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（5）日气温超过38℃ 的高温大于3天或低于-20 ℃ 的严寒大于3天 </w:t>
      </w:r>
      <w:r>
        <w:rPr>
          <w:rFonts w:hint="eastAsia" w:ascii="仿宋" w:hAnsi="仿宋" w:eastAsia="仿宋" w:cs="仿宋"/>
          <w:sz w:val="22"/>
        </w:rPr>
        <w:t>；</w:t>
      </w:r>
    </w:p>
    <w:p w14:paraId="46977E7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 xml:space="preserve">（6）造成工程损坏的冰雹和大雪灾害：日降雪量10mm及以上 </w:t>
      </w:r>
      <w:r>
        <w:rPr>
          <w:rFonts w:hint="eastAsia" w:ascii="仿宋" w:hAnsi="仿宋" w:eastAsia="仿宋" w:cs="仿宋"/>
          <w:sz w:val="22"/>
        </w:rPr>
        <w:t>。</w:t>
      </w:r>
    </w:p>
    <w:p w14:paraId="3CDB062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7.9 提前竣工的奖励</w:t>
      </w:r>
    </w:p>
    <w:p w14:paraId="3988C49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7.9.2提前竣工的奖励：</w:t>
      </w:r>
      <w:r>
        <w:rPr>
          <w:rFonts w:hint="eastAsia" w:ascii="仿宋" w:hAnsi="仿宋" w:eastAsia="仿宋" w:cs="仿宋"/>
          <w:sz w:val="22"/>
          <w:u w:val="single"/>
        </w:rPr>
        <w:t xml:space="preserve">  /    </w:t>
      </w:r>
      <w:r>
        <w:rPr>
          <w:rFonts w:hint="eastAsia" w:ascii="仿宋" w:hAnsi="仿宋" w:eastAsia="仿宋" w:cs="仿宋"/>
          <w:sz w:val="22"/>
        </w:rPr>
        <w:t>。</w:t>
      </w:r>
    </w:p>
    <w:p w14:paraId="4EEB93D3">
      <w:pPr>
        <w:pStyle w:val="5"/>
        <w:keepNext w:val="0"/>
        <w:adjustRightInd w:val="0"/>
        <w:snapToGrid w:val="0"/>
        <w:spacing w:line="360" w:lineRule="auto"/>
        <w:jc w:val="left"/>
        <w:rPr>
          <w:rFonts w:hint="eastAsia" w:ascii="仿宋" w:hAnsi="仿宋" w:eastAsia="仿宋" w:cs="仿宋"/>
          <w:b/>
          <w:color w:val="auto"/>
          <w:sz w:val="22"/>
          <w:szCs w:val="24"/>
        </w:rPr>
      </w:pPr>
      <w:bookmarkStart w:id="376" w:name="_Toc351203640"/>
      <w:r>
        <w:rPr>
          <w:rFonts w:hint="eastAsia" w:ascii="仿宋" w:hAnsi="仿宋" w:eastAsia="仿宋" w:cs="仿宋"/>
          <w:b/>
          <w:color w:val="auto"/>
          <w:sz w:val="22"/>
          <w:szCs w:val="24"/>
        </w:rPr>
        <w:t>8. 材料与设备</w:t>
      </w:r>
      <w:bookmarkEnd w:id="376"/>
    </w:p>
    <w:bookmarkEnd w:id="311"/>
    <w:bookmarkEnd w:id="312"/>
    <w:bookmarkEnd w:id="313"/>
    <w:bookmarkEnd w:id="314"/>
    <w:bookmarkEnd w:id="315"/>
    <w:bookmarkEnd w:id="316"/>
    <w:bookmarkEnd w:id="317"/>
    <w:bookmarkEnd w:id="318"/>
    <w:bookmarkEnd w:id="319"/>
    <w:bookmarkEnd w:id="320"/>
    <w:p w14:paraId="3E92E8D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w:t>
      </w:r>
      <w:bookmarkStart w:id="377" w:name="_Toc280868654"/>
      <w:bookmarkStart w:id="378" w:name="_Toc292559372"/>
      <w:bookmarkStart w:id="379" w:name="_Toc312677493"/>
      <w:bookmarkStart w:id="380" w:name="_Toc297120467"/>
      <w:bookmarkStart w:id="381" w:name="_Toc296347166"/>
      <w:bookmarkStart w:id="382" w:name="_Toc296890995"/>
      <w:bookmarkStart w:id="383" w:name="_Toc297048353"/>
      <w:bookmarkStart w:id="384" w:name="_Toc303539136"/>
      <w:bookmarkStart w:id="385" w:name="_Toc296503167"/>
      <w:bookmarkStart w:id="386" w:name="_Toc296346668"/>
      <w:bookmarkStart w:id="387" w:name="_Toc296891207"/>
      <w:bookmarkStart w:id="388" w:name="_Toc292559877"/>
      <w:bookmarkStart w:id="389" w:name="_Toc297123527"/>
      <w:bookmarkStart w:id="390" w:name="_Toc296944506"/>
      <w:bookmarkStart w:id="391" w:name="_Toc300934979"/>
      <w:bookmarkStart w:id="392" w:name="_Toc297216186"/>
      <w:bookmarkStart w:id="393" w:name="_Toc312678019"/>
      <w:bookmarkStart w:id="394" w:name="_Toc304295556"/>
      <w:bookmarkStart w:id="395" w:name="_Toc280868656"/>
      <w:bookmarkStart w:id="396" w:name="_Toc267251424"/>
      <w:bookmarkStart w:id="397" w:name="_Toc280868655"/>
      <w:r>
        <w:rPr>
          <w:rFonts w:hint="eastAsia" w:ascii="仿宋" w:hAnsi="仿宋" w:eastAsia="仿宋" w:cs="仿宋"/>
          <w:sz w:val="22"/>
        </w:rPr>
        <w:t>.4材料与工程设备的保管与使用</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4FC064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8</w:t>
      </w:r>
      <w:bookmarkStart w:id="398" w:name="_Toc292559878"/>
      <w:bookmarkStart w:id="399" w:name="_Toc292559373"/>
      <w:bookmarkStart w:id="400" w:name="_Toc304295557"/>
      <w:bookmarkStart w:id="401" w:name="_Toc312678020"/>
      <w:bookmarkStart w:id="402" w:name="_Toc297048354"/>
      <w:bookmarkStart w:id="403" w:name="_Toc300934980"/>
      <w:bookmarkStart w:id="404" w:name="_Toc297123528"/>
      <w:bookmarkStart w:id="405" w:name="_Toc296346669"/>
      <w:bookmarkStart w:id="406" w:name="_Toc296503168"/>
      <w:bookmarkStart w:id="407" w:name="_Toc296347167"/>
      <w:bookmarkStart w:id="408" w:name="_Toc297120468"/>
      <w:bookmarkStart w:id="409" w:name="_Toc296890996"/>
      <w:bookmarkStart w:id="410" w:name="_Toc296944507"/>
      <w:bookmarkStart w:id="411" w:name="_Toc297216187"/>
      <w:bookmarkStart w:id="412" w:name="_Toc318581173"/>
      <w:bookmarkStart w:id="413" w:name="_Toc303539137"/>
      <w:bookmarkStart w:id="414" w:name="_Toc296891208"/>
      <w:bookmarkStart w:id="415" w:name="_Toc312677494"/>
      <w:r>
        <w:rPr>
          <w:rFonts w:hint="eastAsia" w:ascii="仿宋" w:hAnsi="仿宋" w:eastAsia="仿宋" w:cs="仿宋"/>
          <w:sz w:val="22"/>
        </w:rPr>
        <w:t>.4.1发包人供应的材料设备的保管费用的承担：</w:t>
      </w:r>
      <w:bookmarkEnd w:id="398"/>
      <w:bookmarkEnd w:id="399"/>
      <w:r>
        <w:rPr>
          <w:rFonts w:hint="eastAsia" w:ascii="仿宋" w:hAnsi="仿宋" w:eastAsia="仿宋" w:cs="仿宋"/>
          <w:sz w:val="22"/>
          <w:u w:val="single"/>
        </w:rPr>
        <w:t xml:space="preserve">发包人供应的材料和工程设备，承包人清点后由承包人妥善保管，保管费用由发包人承担，保管费用为发包人供应的材料和工程设备价的1% </w:t>
      </w:r>
      <w:r>
        <w:rPr>
          <w:rFonts w:hint="eastAsia" w:ascii="仿宋" w:hAnsi="仿宋" w:eastAsia="仿宋" w:cs="仿宋"/>
          <w:sz w:val="22"/>
        </w:rPr>
        <w:t>。</w:t>
      </w:r>
    </w:p>
    <w:p w14:paraId="7389C12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因承包人原因发生丢失毁损的，由承包人负责赔偿；发包人未通知承包人清点的，承包人不负责材料和工程设备的保管，由此导致丢失毁损的由发包人负责</w:t>
      </w:r>
      <w:r>
        <w:rPr>
          <w:rFonts w:hint="eastAsia" w:ascii="仿宋" w:hAnsi="仿宋" w:eastAsia="仿宋" w:cs="仿宋"/>
          <w:sz w:val="22"/>
        </w:rPr>
        <w:t>。</w:t>
      </w:r>
    </w:p>
    <w:p w14:paraId="06C3326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8.6 样品</w:t>
      </w:r>
    </w:p>
    <w:p w14:paraId="09719FC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8.6.1样品的报送与封存</w:t>
      </w:r>
    </w:p>
    <w:p w14:paraId="670AEFD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需要承包人报送样品的材料或工程设备，样品的种类、名称、规格、数量要求：</w:t>
      </w:r>
      <w:r>
        <w:rPr>
          <w:rFonts w:hint="eastAsia" w:ascii="仿宋" w:hAnsi="仿宋" w:eastAsia="仿宋" w:cs="仿宋"/>
          <w:sz w:val="22"/>
          <w:u w:val="single"/>
        </w:rPr>
        <w:t>按发包人需求确定</w:t>
      </w:r>
      <w:r>
        <w:rPr>
          <w:rFonts w:hint="eastAsia" w:ascii="仿宋" w:hAnsi="仿宋" w:eastAsia="仿宋" w:cs="仿宋"/>
          <w:sz w:val="22"/>
        </w:rPr>
        <w:t>。</w:t>
      </w:r>
    </w:p>
    <w:p w14:paraId="299F78C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双方约定由承包人采购的材料必须是优质产品，必须符合有关规范、设计图纸、招标文件规定的质量要求，并提供产品的样品，报发包人、监理、设计单位确认。发包人、监理、设计单位将在承包人提供样品后七个工作日内予以确认。承包人应提供产品出厂证明、合格证书，并按规定在使用前进行材料检测或复试，不合格的不得使用，所有费用由承包人承担，代用材料时，须经发包人认可。发包人可随时抽查。工程量清单中未确定品牌、规格及档次的材料必须经发包人、监理认可后方可进场施工</w:t>
      </w:r>
      <w:r>
        <w:rPr>
          <w:rFonts w:hint="eastAsia" w:ascii="仿宋" w:hAnsi="仿宋" w:eastAsia="仿宋" w:cs="仿宋"/>
          <w:sz w:val="22"/>
        </w:rPr>
        <w:t>。</w:t>
      </w:r>
    </w:p>
    <w:p w14:paraId="65E8245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对大宗承包人供材料，发包人应作为材料供应合同的鉴证方，来控制乙供材的质量、付款及进度。根据工程需要，为保证材料供应、工程顺利进展，发包人保留直接从工程款中扣除部分材料货款，直接支付给相关材料供货方的权力</w:t>
      </w:r>
      <w:r>
        <w:rPr>
          <w:rFonts w:hint="eastAsia" w:ascii="仿宋" w:hAnsi="仿宋" w:eastAsia="仿宋" w:cs="仿宋"/>
          <w:sz w:val="22"/>
        </w:rPr>
        <w:t>。</w:t>
      </w:r>
    </w:p>
    <w:p w14:paraId="15C6AEC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对于由承包人采购的材料（包括成品、半成品和配件等），承包人应根据材料规格、平面尺寸等自行测算其加工损耗，材料的加工辅助材料费用、加工人工机械费用、采保费、包装费、运输费、上下力费等均包含在签约合同价中</w:t>
      </w:r>
      <w:r>
        <w:rPr>
          <w:rFonts w:hint="eastAsia" w:ascii="仿宋" w:hAnsi="仿宋" w:eastAsia="仿宋" w:cs="仿宋"/>
          <w:sz w:val="22"/>
        </w:rPr>
        <w:t>。</w:t>
      </w:r>
    </w:p>
    <w:p w14:paraId="022B5F89">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u w:val="single"/>
        </w:rPr>
        <w:t>（4）材料设备按标准、规范和设计文件要求的检验报告、质量合格证书及使用、维修说明书等其他相关技术文件应要求供应商与货物同时交付，并作为交工文件的一部分妥善保存，以备竣工时移交发包人</w:t>
      </w:r>
      <w:r>
        <w:rPr>
          <w:rFonts w:hint="eastAsia" w:ascii="仿宋" w:hAnsi="仿宋" w:eastAsia="仿宋" w:cs="仿宋"/>
          <w:sz w:val="22"/>
        </w:rPr>
        <w:t>。</w:t>
      </w:r>
    </w:p>
    <w:p w14:paraId="54FCC570">
      <w:pPr>
        <w:tabs>
          <w:tab w:val="left" w:pos="360"/>
          <w:tab w:val="left" w:pos="540"/>
        </w:tabs>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发包人对材料有品牌要求的，承包人须在发包人推荐品牌中选择一个或相当于此品牌同档次材料投入施工（如不是推荐品牌的须经发包人同意后使用）。否则发包人有权要求承包人在所推荐的三个品牌中选择一种进行采购。当发包人因乙供材的价格或质量或推荐品牌材料的档次发生争议时，发包人保留将乙供材改为甲供的权利。该部分材料按招标控制价中的相应价格从承包人的合同价款中扣除，发包人不承担因此造成的承包人损失。</w:t>
      </w:r>
    </w:p>
    <w:p w14:paraId="002F3C26">
      <w:pPr>
        <w:tabs>
          <w:tab w:val="left" w:pos="360"/>
          <w:tab w:val="left" w:pos="540"/>
        </w:tabs>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6）发包人供应材料、设备进场，承包人应积极协助。材料、设备投入施工安装前，承包人应复查相关检验检测手续。如因不合格材料、设备投入现场施工安装，造成费用损失、工期延误的，承包人应承担相应返工及工期损失。发包人对承包人供应材料的认可，并不代表免除承包人对所采购材料的责任。</w:t>
      </w:r>
    </w:p>
    <w:p w14:paraId="2F233BD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8.8 施工设备和临时设施</w:t>
      </w:r>
    </w:p>
    <w:p w14:paraId="75BBB69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8.8.1 承包人提供的施工设备和临时设施</w:t>
      </w:r>
    </w:p>
    <w:p w14:paraId="3D58C76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关于修建临时设施费用承担的约定：</w:t>
      </w:r>
      <w:r>
        <w:rPr>
          <w:rFonts w:hint="eastAsia" w:ascii="仿宋" w:hAnsi="仿宋" w:eastAsia="仿宋" w:cs="仿宋"/>
          <w:sz w:val="22"/>
          <w:u w:val="single"/>
        </w:rPr>
        <w:t xml:space="preserve">承包人自行承担，包含在签约合同价内，结算时不予调整 </w:t>
      </w:r>
      <w:r>
        <w:rPr>
          <w:rFonts w:hint="eastAsia" w:ascii="仿宋" w:hAnsi="仿宋" w:eastAsia="仿宋" w:cs="仿宋"/>
          <w:sz w:val="22"/>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14:paraId="11E585EB">
      <w:pPr>
        <w:snapToGrid w:val="0"/>
        <w:spacing w:line="360" w:lineRule="auto"/>
        <w:jc w:val="left"/>
        <w:rPr>
          <w:rFonts w:hint="eastAsia" w:ascii="仿宋" w:hAnsi="仿宋" w:eastAsia="仿宋" w:cs="仿宋"/>
          <w:b/>
          <w:bCs/>
          <w:sz w:val="22"/>
        </w:rPr>
      </w:pPr>
      <w:bookmarkStart w:id="416" w:name="_Toc351203641"/>
      <w:r>
        <w:rPr>
          <w:rFonts w:hint="eastAsia" w:ascii="仿宋" w:hAnsi="仿宋" w:eastAsia="仿宋" w:cs="仿宋"/>
          <w:b/>
          <w:bCs/>
          <w:sz w:val="22"/>
        </w:rPr>
        <w:t>9</w:t>
      </w:r>
      <w:bookmarkEnd w:id="395"/>
      <w:bookmarkEnd w:id="396"/>
      <w:bookmarkEnd w:id="397"/>
      <w:bookmarkStart w:id="417" w:name="_Toc312678021"/>
      <w:bookmarkStart w:id="418" w:name="_Toc300934982"/>
      <w:bookmarkStart w:id="419" w:name="_Toc312677495"/>
      <w:bookmarkStart w:id="420" w:name="_Toc297216192"/>
      <w:bookmarkStart w:id="421" w:name="_Toc304295559"/>
      <w:bookmarkStart w:id="422" w:name="_Toc303539139"/>
      <w:bookmarkStart w:id="423" w:name="_Toc297123533"/>
      <w:bookmarkStart w:id="424" w:name="_Toc296891213"/>
      <w:bookmarkStart w:id="425" w:name="_Toc267251427"/>
      <w:bookmarkStart w:id="426" w:name="_Toc296346674"/>
      <w:bookmarkStart w:id="427" w:name="_Toc292559883"/>
      <w:bookmarkStart w:id="428" w:name="_Toc296503173"/>
      <w:bookmarkStart w:id="429" w:name="_Toc296347172"/>
      <w:bookmarkStart w:id="430" w:name="_Toc267251428"/>
      <w:bookmarkStart w:id="431" w:name="_Toc297048359"/>
      <w:bookmarkStart w:id="432" w:name="_Toc296891001"/>
      <w:bookmarkStart w:id="433" w:name="_Toc292559378"/>
      <w:bookmarkStart w:id="434" w:name="_Toc296944512"/>
      <w:bookmarkStart w:id="435" w:name="_Toc297120473"/>
      <w:r>
        <w:rPr>
          <w:rFonts w:hint="eastAsia" w:ascii="仿宋" w:hAnsi="仿宋" w:eastAsia="仿宋" w:cs="仿宋"/>
          <w:b/>
          <w:bCs/>
          <w:sz w:val="22"/>
        </w:rPr>
        <w:t>. 试验与检验</w:t>
      </w:r>
      <w:bookmarkEnd w:id="416"/>
    </w:p>
    <w:bookmarkEnd w:id="417"/>
    <w:bookmarkEnd w:id="418"/>
    <w:bookmarkEnd w:id="419"/>
    <w:bookmarkEnd w:id="420"/>
    <w:bookmarkEnd w:id="421"/>
    <w:bookmarkEnd w:id="422"/>
    <w:bookmarkEnd w:id="423"/>
    <w:p w14:paraId="2D4F4C42">
      <w:pPr>
        <w:snapToGrid w:val="0"/>
        <w:spacing w:line="360" w:lineRule="auto"/>
        <w:jc w:val="left"/>
        <w:rPr>
          <w:rFonts w:hint="eastAsia" w:ascii="仿宋" w:hAnsi="仿宋" w:eastAsia="仿宋" w:cs="仿宋"/>
          <w:b/>
          <w:bCs/>
          <w:sz w:val="22"/>
        </w:rPr>
      </w:pPr>
      <w:r>
        <w:rPr>
          <w:rFonts w:hint="eastAsia" w:ascii="仿宋" w:hAnsi="仿宋" w:eastAsia="仿宋" w:cs="仿宋"/>
          <w:b/>
          <w:bCs/>
          <w:sz w:val="22"/>
        </w:rPr>
        <w:t xml:space="preserve">    9</w:t>
      </w:r>
      <w:bookmarkStart w:id="436" w:name="_Toc312677496"/>
      <w:bookmarkStart w:id="437" w:name="_Toc297123534"/>
      <w:bookmarkStart w:id="438" w:name="_Toc312678022"/>
      <w:bookmarkStart w:id="439" w:name="_Toc297216193"/>
      <w:bookmarkStart w:id="440" w:name="_Toc303539140"/>
      <w:bookmarkStart w:id="441" w:name="_Toc300934983"/>
      <w:bookmarkStart w:id="442" w:name="_Toc304295560"/>
      <w:r>
        <w:rPr>
          <w:rFonts w:hint="eastAsia" w:ascii="仿宋" w:hAnsi="仿宋" w:eastAsia="仿宋" w:cs="仿宋"/>
          <w:b/>
          <w:bCs/>
          <w:sz w:val="22"/>
        </w:rPr>
        <w:t>.1试验设备与试验人员</w:t>
      </w:r>
    </w:p>
    <w:bookmarkEnd w:id="436"/>
    <w:bookmarkEnd w:id="437"/>
    <w:bookmarkEnd w:id="438"/>
    <w:bookmarkEnd w:id="439"/>
    <w:bookmarkEnd w:id="440"/>
    <w:bookmarkEnd w:id="441"/>
    <w:bookmarkEnd w:id="442"/>
    <w:p w14:paraId="562D492E">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9</w:t>
      </w:r>
      <w:bookmarkStart w:id="443" w:name="_Toc297216194"/>
      <w:bookmarkStart w:id="444" w:name="_Toc312677497"/>
      <w:bookmarkStart w:id="445" w:name="_Toc304295561"/>
      <w:bookmarkStart w:id="446" w:name="_Toc303539141"/>
      <w:bookmarkStart w:id="447" w:name="_Toc300934984"/>
      <w:bookmarkStart w:id="448" w:name="_Toc312678023"/>
      <w:bookmarkStart w:id="449" w:name="_Toc297123535"/>
      <w:bookmarkStart w:id="450" w:name="_Toc318581174"/>
      <w:r>
        <w:rPr>
          <w:rFonts w:hint="eastAsia" w:ascii="仿宋" w:hAnsi="仿宋" w:eastAsia="仿宋" w:cs="仿宋"/>
          <w:sz w:val="22"/>
        </w:rPr>
        <w:t>.1.2 试验设备</w:t>
      </w:r>
    </w:p>
    <w:p w14:paraId="225D554F">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施工现场需要配置的试验场所：</w:t>
      </w:r>
      <w:bookmarkEnd w:id="443"/>
      <w:bookmarkEnd w:id="444"/>
      <w:bookmarkEnd w:id="445"/>
      <w:bookmarkEnd w:id="446"/>
      <w:bookmarkEnd w:id="447"/>
      <w:bookmarkEnd w:id="448"/>
      <w:bookmarkEnd w:id="449"/>
      <w:bookmarkStart w:id="451" w:name="_Toc312677498"/>
      <w:bookmarkStart w:id="452" w:name="_Toc300934985"/>
      <w:bookmarkStart w:id="453" w:name="_Toc312678024"/>
      <w:bookmarkStart w:id="454" w:name="_Toc304295562"/>
      <w:bookmarkStart w:id="455" w:name="_Toc297123536"/>
      <w:bookmarkStart w:id="456" w:name="_Toc303539142"/>
      <w:bookmarkStart w:id="457" w:name="_Toc297216195"/>
      <w:r>
        <w:rPr>
          <w:rFonts w:hint="eastAsia" w:ascii="仿宋" w:hAnsi="仿宋" w:eastAsia="仿宋" w:cs="仿宋"/>
          <w:sz w:val="22"/>
          <w:u w:val="single"/>
        </w:rPr>
        <w:t xml:space="preserve">  /  </w:t>
      </w:r>
      <w:r>
        <w:rPr>
          <w:rFonts w:hint="eastAsia" w:ascii="仿宋" w:hAnsi="仿宋" w:eastAsia="仿宋" w:cs="仿宋"/>
          <w:sz w:val="22"/>
        </w:rPr>
        <w:t xml:space="preserve">。 </w:t>
      </w:r>
    </w:p>
    <w:p w14:paraId="719E8B3E">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施工现场需要配备的试验设备：</w:t>
      </w:r>
      <w:r>
        <w:rPr>
          <w:rFonts w:hint="eastAsia" w:ascii="仿宋" w:hAnsi="仿宋" w:eastAsia="仿宋" w:cs="仿宋"/>
          <w:sz w:val="22"/>
          <w:u w:val="single"/>
        </w:rPr>
        <w:t xml:space="preserve">  /  </w:t>
      </w:r>
      <w:r>
        <w:rPr>
          <w:rFonts w:hint="eastAsia" w:ascii="仿宋" w:hAnsi="仿宋" w:eastAsia="仿宋" w:cs="仿宋"/>
          <w:sz w:val="22"/>
        </w:rPr>
        <w:t>。</w:t>
      </w:r>
    </w:p>
    <w:p w14:paraId="6A50B7AA">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施工现场需要具备的其他试验条件：</w:t>
      </w:r>
      <w:r>
        <w:rPr>
          <w:rFonts w:hint="eastAsia" w:ascii="仿宋" w:hAnsi="仿宋" w:eastAsia="仿宋" w:cs="仿宋"/>
          <w:sz w:val="22"/>
          <w:u w:val="single"/>
        </w:rPr>
        <w:t xml:space="preserve">  /  </w:t>
      </w:r>
      <w:r>
        <w:rPr>
          <w:rFonts w:hint="eastAsia" w:ascii="仿宋" w:hAnsi="仿宋" w:eastAsia="仿宋" w:cs="仿宋"/>
          <w:sz w:val="22"/>
        </w:rPr>
        <w:t>。</w:t>
      </w:r>
    </w:p>
    <w:p w14:paraId="35A2F58F">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9.4 现场工艺试验 </w:t>
      </w:r>
    </w:p>
    <w:p w14:paraId="47B35201">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现场工艺试验的有关约定：</w:t>
      </w:r>
      <w:r>
        <w:rPr>
          <w:rFonts w:hint="eastAsia" w:ascii="仿宋" w:hAnsi="仿宋" w:eastAsia="仿宋" w:cs="仿宋"/>
          <w:sz w:val="22"/>
          <w:u w:val="single"/>
        </w:rPr>
        <w:t xml:space="preserve">  /  </w:t>
      </w:r>
      <w:r>
        <w:rPr>
          <w:rFonts w:hint="eastAsia" w:ascii="仿宋" w:hAnsi="仿宋" w:eastAsia="仿宋" w:cs="仿宋"/>
          <w:sz w:val="22"/>
        </w:rPr>
        <w:t>。</w:t>
      </w:r>
    </w:p>
    <w:bookmarkEnd w:id="450"/>
    <w:bookmarkEnd w:id="451"/>
    <w:bookmarkEnd w:id="452"/>
    <w:bookmarkEnd w:id="453"/>
    <w:bookmarkEnd w:id="454"/>
    <w:bookmarkEnd w:id="455"/>
    <w:bookmarkEnd w:id="456"/>
    <w:bookmarkEnd w:id="457"/>
    <w:p w14:paraId="455DCF26">
      <w:pPr>
        <w:snapToGrid w:val="0"/>
        <w:spacing w:line="360" w:lineRule="auto"/>
        <w:jc w:val="left"/>
        <w:rPr>
          <w:rFonts w:hint="eastAsia" w:ascii="仿宋" w:hAnsi="仿宋" w:eastAsia="仿宋" w:cs="仿宋"/>
          <w:sz w:val="22"/>
        </w:rPr>
      </w:pPr>
      <w:bookmarkStart w:id="458" w:name="_Toc351203642"/>
      <w:r>
        <w:rPr>
          <w:rFonts w:hint="eastAsia" w:ascii="仿宋" w:hAnsi="仿宋" w:eastAsia="仿宋" w:cs="仿宋"/>
          <w:sz w:val="22"/>
        </w:rPr>
        <w:t>1</w:t>
      </w:r>
      <w:bookmarkEnd w:id="424"/>
      <w:bookmarkEnd w:id="425"/>
      <w:bookmarkEnd w:id="426"/>
      <w:bookmarkEnd w:id="427"/>
      <w:bookmarkEnd w:id="428"/>
      <w:bookmarkEnd w:id="429"/>
      <w:bookmarkEnd w:id="430"/>
      <w:bookmarkEnd w:id="431"/>
      <w:bookmarkEnd w:id="432"/>
      <w:bookmarkEnd w:id="433"/>
      <w:bookmarkEnd w:id="434"/>
      <w:bookmarkEnd w:id="435"/>
      <w:bookmarkStart w:id="459" w:name="_Toc297216199"/>
      <w:bookmarkStart w:id="460" w:name="_Toc296944532"/>
      <w:bookmarkStart w:id="461" w:name="_Toc296503193"/>
      <w:bookmarkStart w:id="462" w:name="_Toc304295566"/>
      <w:bookmarkStart w:id="463" w:name="_Toc297048379"/>
      <w:bookmarkStart w:id="464" w:name="_Toc296346694"/>
      <w:bookmarkStart w:id="465" w:name="_Toc297120493"/>
      <w:bookmarkStart w:id="466" w:name="_Toc292559398"/>
      <w:bookmarkStart w:id="467" w:name="_Toc296891021"/>
      <w:bookmarkStart w:id="468" w:name="_Toc296347192"/>
      <w:bookmarkStart w:id="469" w:name="_Toc297123540"/>
      <w:bookmarkStart w:id="470" w:name="_Toc296891233"/>
      <w:bookmarkStart w:id="471" w:name="_Toc300934989"/>
      <w:bookmarkStart w:id="472" w:name="_Toc303539146"/>
      <w:bookmarkStart w:id="473" w:name="_Toc292559903"/>
      <w:bookmarkStart w:id="474" w:name="_Toc312678025"/>
      <w:bookmarkStart w:id="475" w:name="_Toc312677499"/>
      <w:bookmarkStart w:id="476" w:name="_Toc267251439"/>
      <w:bookmarkStart w:id="477" w:name="_Toc267251437"/>
      <w:bookmarkStart w:id="478" w:name="_Toc267251435"/>
      <w:bookmarkStart w:id="479" w:name="_Toc267251441"/>
      <w:bookmarkStart w:id="480" w:name="_Toc267251433"/>
      <w:bookmarkStart w:id="481" w:name="_Toc267251440"/>
      <w:bookmarkStart w:id="482" w:name="_Toc267251442"/>
      <w:r>
        <w:rPr>
          <w:rFonts w:hint="eastAsia" w:ascii="仿宋" w:hAnsi="仿宋" w:eastAsia="仿宋" w:cs="仿宋"/>
          <w:sz w:val="22"/>
        </w:rPr>
        <w:t>0. 变更</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bookmarkEnd w:id="474"/>
    <w:bookmarkEnd w:id="475"/>
    <w:p w14:paraId="3AE0B607">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w:t>
      </w:r>
      <w:bookmarkStart w:id="483" w:name="_Toc296503194"/>
      <w:bookmarkStart w:id="484" w:name="_Toc297048380"/>
      <w:bookmarkStart w:id="485" w:name="_Toc296347193"/>
      <w:bookmarkStart w:id="486" w:name="_Toc296891022"/>
      <w:bookmarkStart w:id="487" w:name="_Toc296346695"/>
      <w:bookmarkStart w:id="488" w:name="_Toc292559904"/>
      <w:bookmarkStart w:id="489" w:name="_Toc312677500"/>
      <w:bookmarkStart w:id="490" w:name="_Toc300934990"/>
      <w:bookmarkStart w:id="491" w:name="_Toc303539147"/>
      <w:bookmarkStart w:id="492" w:name="_Toc292559399"/>
      <w:bookmarkStart w:id="493" w:name="_Toc297120494"/>
      <w:bookmarkStart w:id="494" w:name="_Toc296944533"/>
      <w:bookmarkStart w:id="495" w:name="_Toc304295567"/>
      <w:bookmarkStart w:id="496" w:name="_Toc297123541"/>
      <w:bookmarkStart w:id="497" w:name="_Toc296891234"/>
      <w:bookmarkStart w:id="498" w:name="_Toc312678026"/>
      <w:bookmarkStart w:id="499" w:name="_Toc297216200"/>
      <w:r>
        <w:rPr>
          <w:rFonts w:hint="eastAsia" w:ascii="仿宋" w:hAnsi="仿宋" w:eastAsia="仿宋" w:cs="仿宋"/>
          <w:sz w:val="22"/>
        </w:rPr>
        <w:t>0.1变更的范围</w:t>
      </w:r>
    </w:p>
    <w:p w14:paraId="59B4007C">
      <w:pPr>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关于变更的范围的约定：</w:t>
      </w:r>
      <w:r>
        <w:rPr>
          <w:rFonts w:hint="eastAsia" w:ascii="仿宋" w:hAnsi="仿宋" w:eastAsia="仿宋" w:cs="仿宋"/>
          <w:sz w:val="22"/>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r>
        <w:rPr>
          <w:rFonts w:hint="eastAsia" w:ascii="仿宋" w:hAnsi="仿宋" w:eastAsia="仿宋" w:cs="仿宋"/>
          <w:sz w:val="22"/>
        </w:rPr>
        <w:t>。 </w:t>
      </w:r>
    </w:p>
    <w:p w14:paraId="69837BFF">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10.2变更估价</w:t>
      </w:r>
    </w:p>
    <w:p w14:paraId="7438D580">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10.3 变更估价原则</w:t>
      </w:r>
    </w:p>
    <w:p w14:paraId="436396F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 xml:space="preserve">    关于变更估价的约定: </w:t>
      </w:r>
    </w:p>
    <w:p w14:paraId="5EA3918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（1）已标价工程量清单中有相同项目的，按照相同项目单价认定；当变更导致工程量清单项目工程量的变化幅度超过15%时，可进行综合单价调整</w:t>
      </w:r>
      <w:r>
        <w:rPr>
          <w:rFonts w:hint="eastAsia" w:ascii="仿宋" w:hAnsi="仿宋" w:eastAsia="仿宋" w:cs="仿宋"/>
          <w:sz w:val="22"/>
        </w:rPr>
        <w:t>；</w:t>
      </w:r>
    </w:p>
    <w:p w14:paraId="4412649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（2）已标价工程量清单中无相同项目，但有类似项目的，参照类似项目的单价认定；</w:t>
      </w:r>
    </w:p>
    <w:p w14:paraId="10AA0DC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已标价工程量清单中无相同项目也无类似项目的，由承包人根据变更工程资料、计量规则、计价办法、工程造价管理机构发布的工程造价信息指导价（或者通过市场调查等取得有合法依据的市场价格）、承包人报价浮动率提出变更工程项目的单价并经监理、发包人书面确认；</w:t>
      </w:r>
    </w:p>
    <w:p w14:paraId="66DFA77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（4）变更估价应按税法规定的一般计税方法计算增值税。</w:t>
      </w:r>
    </w:p>
    <w:p w14:paraId="2D27889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（5）承包人在工程变更、现场签证确定后14天内，完成变更申报及签证手续，提出变更工程价款的报告，经工程监理师确认后调整合同价款。如超过14天仍未完成申报和签证手续，发包人有权拒签。</w:t>
      </w:r>
    </w:p>
    <w:p w14:paraId="60AF1FC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具体价格调整的方法按本合同12.1.1条风险范围以外合同价格执行。</w:t>
      </w:r>
    </w:p>
    <w:p w14:paraId="396408B7">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Start w:id="500" w:name="_Toc296346698"/>
      <w:bookmarkStart w:id="501" w:name="_Toc296503197"/>
      <w:bookmarkStart w:id="502" w:name="_Toc292559907"/>
      <w:bookmarkStart w:id="503" w:name="_Toc303539150"/>
      <w:bookmarkStart w:id="504" w:name="_Toc296944536"/>
      <w:bookmarkStart w:id="505" w:name="_Toc297120497"/>
      <w:bookmarkStart w:id="506" w:name="_Toc297048383"/>
      <w:bookmarkStart w:id="507" w:name="_Toc292559402"/>
      <w:bookmarkStart w:id="508" w:name="_Toc300934993"/>
      <w:bookmarkStart w:id="509" w:name="_Toc296891025"/>
      <w:bookmarkStart w:id="510" w:name="_Toc296347196"/>
      <w:bookmarkStart w:id="511" w:name="_Toc297123544"/>
      <w:bookmarkStart w:id="512" w:name="_Toc297216203"/>
      <w:bookmarkStart w:id="513" w:name="_Toc296891237"/>
      <w:bookmarkStart w:id="514" w:name="_Toc312678029"/>
      <w:bookmarkStart w:id="515" w:name="_Toc312677503"/>
      <w:bookmarkStart w:id="516" w:name="_Toc304295570"/>
      <w:r>
        <w:rPr>
          <w:rFonts w:hint="eastAsia" w:ascii="仿宋" w:hAnsi="仿宋" w:eastAsia="仿宋" w:cs="仿宋"/>
          <w:sz w:val="22"/>
        </w:rPr>
        <w:t>0.4承</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Start w:id="517" w:name="_Toc303539151"/>
      <w:bookmarkStart w:id="518" w:name="_Toc296944542"/>
      <w:bookmarkStart w:id="519" w:name="_Toc296503203"/>
      <w:bookmarkStart w:id="520" w:name="_Toc296347202"/>
      <w:bookmarkStart w:id="521" w:name="_Toc292559408"/>
      <w:bookmarkStart w:id="522" w:name="_Toc297123545"/>
      <w:bookmarkStart w:id="523" w:name="_Toc296346704"/>
      <w:bookmarkStart w:id="524" w:name="_Toc297216204"/>
      <w:bookmarkStart w:id="525" w:name="_Toc292559913"/>
      <w:bookmarkStart w:id="526" w:name="_Toc300934994"/>
      <w:bookmarkStart w:id="527" w:name="_Toc297120503"/>
      <w:bookmarkStart w:id="528" w:name="_Toc296891031"/>
      <w:bookmarkStart w:id="529" w:name="_Toc296891243"/>
      <w:bookmarkStart w:id="530" w:name="_Toc297048389"/>
      <w:r>
        <w:rPr>
          <w:rFonts w:hint="eastAsia" w:ascii="仿宋" w:hAnsi="仿宋" w:eastAsia="仿宋" w:cs="仿宋"/>
          <w:sz w:val="22"/>
        </w:rPr>
        <w:t>包人的合理化建议</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DAF1704">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监理人审查承包人合理化建议的期限：</w:t>
      </w:r>
      <w:r>
        <w:rPr>
          <w:rFonts w:hint="eastAsia" w:ascii="仿宋" w:hAnsi="仿宋" w:eastAsia="仿宋" w:cs="仿宋"/>
          <w:sz w:val="22"/>
          <w:u w:val="single"/>
        </w:rPr>
        <w:t xml:space="preserve"> 收到建议书7日内</w:t>
      </w:r>
      <w:r>
        <w:rPr>
          <w:rFonts w:hint="eastAsia" w:ascii="仿宋" w:hAnsi="仿宋" w:eastAsia="仿宋" w:cs="仿宋"/>
          <w:sz w:val="22"/>
        </w:rPr>
        <w:t>。</w:t>
      </w:r>
    </w:p>
    <w:p w14:paraId="5112D9AE">
      <w:pPr>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发包人审批承包人合理化建议的期限：</w:t>
      </w:r>
      <w:r>
        <w:rPr>
          <w:rFonts w:hint="eastAsia" w:ascii="仿宋" w:hAnsi="仿宋" w:eastAsia="仿宋" w:cs="仿宋"/>
          <w:sz w:val="22"/>
          <w:u w:val="single"/>
        </w:rPr>
        <w:t xml:space="preserve"> 收到建议书7日内  </w:t>
      </w:r>
      <w:r>
        <w:rPr>
          <w:rFonts w:hint="eastAsia" w:ascii="仿宋" w:hAnsi="仿宋" w:eastAsia="仿宋" w:cs="仿宋"/>
          <w:sz w:val="22"/>
        </w:rPr>
        <w:t>。</w:t>
      </w:r>
    </w:p>
    <w:p w14:paraId="5B35D142">
      <w:pPr>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承</w:t>
      </w:r>
      <w:bookmarkStart w:id="531" w:name="_Toc292559914"/>
      <w:bookmarkStart w:id="532" w:name="_Toc296346705"/>
      <w:bookmarkStart w:id="533" w:name="_Toc303539152"/>
      <w:bookmarkStart w:id="534" w:name="_Toc297120504"/>
      <w:bookmarkStart w:id="535" w:name="_Toc296347203"/>
      <w:bookmarkStart w:id="536" w:name="_Toc304295571"/>
      <w:bookmarkStart w:id="537" w:name="_Toc300934995"/>
      <w:bookmarkStart w:id="538" w:name="_Toc312677504"/>
      <w:bookmarkStart w:id="539" w:name="_Toc297123546"/>
      <w:bookmarkStart w:id="540" w:name="_Toc318581175"/>
      <w:bookmarkStart w:id="541" w:name="_Toc312678030"/>
      <w:bookmarkStart w:id="542" w:name="_Toc292559409"/>
      <w:bookmarkStart w:id="543" w:name="_Toc296944543"/>
      <w:bookmarkStart w:id="544" w:name="_Toc296891032"/>
      <w:bookmarkStart w:id="545" w:name="_Toc296891244"/>
      <w:bookmarkStart w:id="546" w:name="_Toc297216205"/>
      <w:bookmarkStart w:id="547" w:name="_Toc297048390"/>
      <w:bookmarkStart w:id="548" w:name="_Toc296503204"/>
      <w:r>
        <w:rPr>
          <w:rFonts w:hint="eastAsia" w:ascii="仿宋" w:hAnsi="仿宋" w:eastAsia="仿宋" w:cs="仿宋"/>
          <w:sz w:val="22"/>
        </w:rPr>
        <w:t>包人提出的合理化建议降低了合同价格或者提高了工程经济效益的奖励的方法和金额为：</w:t>
      </w:r>
      <w:r>
        <w:rPr>
          <w:rFonts w:hint="eastAsia" w:ascii="仿宋" w:hAnsi="仿宋" w:eastAsia="仿宋" w:cs="仿宋"/>
          <w:sz w:val="22"/>
          <w:u w:val="single"/>
        </w:rPr>
        <w:t xml:space="preserve"> / </w:t>
      </w:r>
      <w:r>
        <w:rPr>
          <w:rFonts w:hint="eastAsia" w:ascii="仿宋" w:hAnsi="仿宋" w:eastAsia="仿宋" w:cs="仿宋"/>
          <w:sz w:val="22"/>
        </w:rPr>
        <w:t>。</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14:paraId="3AA9C42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w:t>
      </w:r>
      <w:bookmarkStart w:id="549" w:name="_Toc297216207"/>
      <w:bookmarkStart w:id="550" w:name="_Toc296503199"/>
      <w:bookmarkStart w:id="551" w:name="_Toc292559909"/>
      <w:bookmarkStart w:id="552" w:name="_Toc297048385"/>
      <w:bookmarkStart w:id="553" w:name="_Toc296891239"/>
      <w:bookmarkStart w:id="554" w:name="_Toc304295574"/>
      <w:bookmarkStart w:id="555" w:name="_Toc300934997"/>
      <w:bookmarkStart w:id="556" w:name="_Toc297120499"/>
      <w:bookmarkStart w:id="557" w:name="_Toc292559404"/>
      <w:bookmarkStart w:id="558" w:name="_Toc312678033"/>
      <w:bookmarkStart w:id="559" w:name="_Toc303539154"/>
      <w:bookmarkStart w:id="560" w:name="_Toc297123548"/>
      <w:bookmarkStart w:id="561" w:name="_Toc296891027"/>
      <w:bookmarkStart w:id="562" w:name="_Toc296347198"/>
      <w:bookmarkStart w:id="563" w:name="_Toc296944538"/>
      <w:bookmarkStart w:id="564" w:name="_Toc296346700"/>
      <w:bookmarkStart w:id="565" w:name="_Toc312677507"/>
      <w:r>
        <w:rPr>
          <w:rFonts w:hint="eastAsia" w:ascii="仿宋" w:hAnsi="仿宋" w:eastAsia="仿宋" w:cs="仿宋"/>
          <w:sz w:val="22"/>
        </w:rPr>
        <w:t>0.5 暂估价</w:t>
      </w:r>
    </w:p>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14:paraId="1DD679E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暂</w:t>
      </w:r>
      <w:bookmarkStart w:id="566" w:name="_Toc312678034"/>
      <w:bookmarkStart w:id="567" w:name="_Toc312677508"/>
      <w:bookmarkStart w:id="568" w:name="_Toc318581176"/>
      <w:r>
        <w:rPr>
          <w:rFonts w:hint="eastAsia" w:ascii="仿宋" w:hAnsi="仿宋" w:eastAsia="仿宋" w:cs="仿宋"/>
          <w:sz w:val="22"/>
        </w:rPr>
        <w:t>估价材料和工程设备的明细详见附件11：</w:t>
      </w:r>
      <w:r>
        <w:rPr>
          <w:rFonts w:hint="eastAsia" w:ascii="仿宋" w:hAnsi="仿宋" w:eastAsia="仿宋" w:cs="仿宋"/>
          <w:sz w:val="22"/>
          <w:u w:val="single"/>
        </w:rPr>
        <w:t>《暂估价一览表》</w:t>
      </w:r>
      <w:r>
        <w:rPr>
          <w:rFonts w:hint="eastAsia" w:ascii="仿宋" w:hAnsi="仿宋" w:eastAsia="仿宋" w:cs="仿宋"/>
          <w:sz w:val="22"/>
        </w:rPr>
        <w:t>。</w:t>
      </w:r>
    </w:p>
    <w:bookmarkEnd w:id="566"/>
    <w:bookmarkEnd w:id="567"/>
    <w:bookmarkEnd w:id="568"/>
    <w:p w14:paraId="480EC70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w:t>
      </w:r>
      <w:bookmarkStart w:id="569" w:name="_Toc312677509"/>
      <w:bookmarkStart w:id="570" w:name="_Toc312678035"/>
      <w:bookmarkStart w:id="571" w:name="_Toc318581177"/>
      <w:r>
        <w:rPr>
          <w:rFonts w:hint="eastAsia" w:ascii="仿宋" w:hAnsi="仿宋" w:eastAsia="仿宋" w:cs="仿宋"/>
          <w:sz w:val="22"/>
        </w:rPr>
        <w:t>0.6依法必须招标的暂估价项目</w:t>
      </w:r>
    </w:p>
    <w:bookmarkEnd w:id="569"/>
    <w:bookmarkEnd w:id="570"/>
    <w:bookmarkEnd w:id="571"/>
    <w:p w14:paraId="79F5BE3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对于依法必须招标的暂估价项目的确认和批准采取</w:t>
      </w:r>
      <w:r>
        <w:rPr>
          <w:rFonts w:hint="eastAsia" w:ascii="仿宋" w:hAnsi="仿宋" w:eastAsia="仿宋" w:cs="仿宋"/>
          <w:sz w:val="22"/>
          <w:u w:val="single"/>
        </w:rPr>
        <w:t>发包人招标</w:t>
      </w:r>
      <w:r>
        <w:rPr>
          <w:rFonts w:hint="eastAsia" w:ascii="仿宋" w:hAnsi="仿宋" w:eastAsia="仿宋" w:cs="仿宋"/>
          <w:sz w:val="22"/>
        </w:rPr>
        <w:t>方式确定。</w:t>
      </w:r>
    </w:p>
    <w:p w14:paraId="638F350C">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对于依法必须招标的暂估价项目，由发包人招标确定暂估价供应商或专业工程承包人。确定中标人后，由发包人、承包人与中标人共同签订暂估价合同</w:t>
      </w:r>
      <w:r>
        <w:rPr>
          <w:rFonts w:hint="eastAsia" w:ascii="仿宋" w:hAnsi="仿宋" w:eastAsia="仿宋" w:cs="仿宋"/>
          <w:sz w:val="22"/>
        </w:rPr>
        <w:t>。</w:t>
      </w:r>
    </w:p>
    <w:p w14:paraId="07F2EAF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10.7不属于依法必须招标的暂估价项目</w:t>
      </w:r>
    </w:p>
    <w:p w14:paraId="0D2C1AB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对于不属于依法必须招标的暂估价项目的确认和批准采取第</w:t>
      </w:r>
      <w:r>
        <w:rPr>
          <w:rFonts w:hint="eastAsia" w:ascii="仿宋" w:hAnsi="仿宋" w:eastAsia="仿宋" w:cs="仿宋"/>
          <w:sz w:val="22"/>
          <w:u w:val="single"/>
        </w:rPr>
        <w:t xml:space="preserve"> 3 </w:t>
      </w:r>
      <w:r>
        <w:rPr>
          <w:rFonts w:hint="eastAsia" w:ascii="仿宋" w:hAnsi="仿宋" w:eastAsia="仿宋" w:cs="仿宋"/>
          <w:sz w:val="22"/>
        </w:rPr>
        <w:t>种方式确定。</w:t>
      </w:r>
    </w:p>
    <w:p w14:paraId="700A697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第3种方式：承包人直接实施的暂估价项目</w:t>
      </w:r>
    </w:p>
    <w:p w14:paraId="5A7C41BC">
      <w:pPr>
        <w:spacing w:line="360" w:lineRule="auto"/>
        <w:ind w:firstLine="440" w:firstLineChars="200"/>
        <w:jc w:val="left"/>
        <w:rPr>
          <w:rStyle w:val="287"/>
          <w:rFonts w:hint="eastAsia" w:ascii="仿宋" w:hAnsi="仿宋" w:eastAsia="仿宋" w:cs="仿宋"/>
          <w:sz w:val="22"/>
          <w:szCs w:val="32"/>
        </w:rPr>
      </w:pPr>
      <w:r>
        <w:rPr>
          <w:rFonts w:hint="eastAsia" w:ascii="仿宋" w:hAnsi="仿宋" w:eastAsia="仿宋" w:cs="仿宋"/>
          <w:sz w:val="22"/>
          <w:u w:val="single"/>
        </w:rPr>
        <w:t>承包人直接实施的暂估价项目的约定：承包人具备实施暂估价项目的资格和条件的，经发包人书面认可后，可由承包人自行实施暂估价项目。</w:t>
      </w:r>
      <w:r>
        <w:rPr>
          <w:rStyle w:val="287"/>
          <w:rFonts w:hint="eastAsia" w:ascii="仿宋" w:hAnsi="仿宋" w:eastAsia="仿宋" w:cs="仿宋"/>
          <w:sz w:val="22"/>
        </w:rPr>
        <w:t>承包人应按照本合同相应条款的规定提出实施价格随直接实施书面申请报发包人审批，经发包人批准后以此为依据取代专业工程暂估价，调整合同价款。</w:t>
      </w:r>
    </w:p>
    <w:p w14:paraId="6BF2A4EF">
      <w:pPr>
        <w:spacing w:line="360" w:lineRule="auto"/>
        <w:ind w:firstLine="440" w:firstLineChars="200"/>
        <w:jc w:val="left"/>
        <w:rPr>
          <w:rFonts w:hint="eastAsia" w:ascii="仿宋" w:hAnsi="仿宋" w:eastAsia="仿宋" w:cs="仿宋"/>
          <w:sz w:val="22"/>
          <w:szCs w:val="32"/>
        </w:rPr>
      </w:pPr>
      <w:r>
        <w:rPr>
          <w:rFonts w:hint="eastAsia" w:ascii="仿宋" w:hAnsi="仿宋" w:eastAsia="仿宋" w:cs="仿宋"/>
          <w:sz w:val="22"/>
          <w:u w:val="single"/>
        </w:rPr>
        <w:t>承包人应根据施工进度计划，在直接实施前28天向监理人提出直接实施书面申请。监理人应当在收到申请后14天内审查并报送发包人，发包人应当在收到申请后14天内给予批准或提出修改意见，发包人逾期未予批准或提出修改意见的，视为该书面申请已获得书面同意</w:t>
      </w:r>
      <w:r>
        <w:rPr>
          <w:rFonts w:hint="eastAsia" w:ascii="仿宋" w:hAnsi="仿宋" w:eastAsia="仿宋" w:cs="仿宋"/>
          <w:sz w:val="22"/>
        </w:rPr>
        <w:t>。</w:t>
      </w:r>
    </w:p>
    <w:p w14:paraId="56AE444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10.8 暂列金额</w:t>
      </w:r>
    </w:p>
    <w:p w14:paraId="767E67E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合同当事人关于暂列金额使用的约定：</w:t>
      </w:r>
      <w:r>
        <w:rPr>
          <w:rFonts w:hint="eastAsia" w:ascii="仿宋" w:hAnsi="仿宋" w:eastAsia="仿宋" w:cs="仿宋"/>
          <w:sz w:val="22"/>
          <w:u w:val="single"/>
        </w:rPr>
        <w:t>暂列金额由发包人掌握使用，发包人按照本合同的规定支付后，暂列金额余额归发包人所有</w:t>
      </w:r>
      <w:r>
        <w:rPr>
          <w:rFonts w:hint="eastAsia" w:ascii="仿宋" w:hAnsi="仿宋" w:eastAsia="仿宋" w:cs="仿宋"/>
          <w:sz w:val="22"/>
        </w:rPr>
        <w:t>。</w:t>
      </w:r>
    </w:p>
    <w:p w14:paraId="6A6407E4">
      <w:pPr>
        <w:pStyle w:val="5"/>
        <w:keepNext w:val="0"/>
        <w:adjustRightInd w:val="0"/>
        <w:snapToGrid w:val="0"/>
        <w:spacing w:line="360" w:lineRule="auto"/>
        <w:jc w:val="left"/>
        <w:rPr>
          <w:rFonts w:hint="eastAsia" w:ascii="仿宋" w:hAnsi="仿宋" w:eastAsia="仿宋" w:cs="仿宋"/>
          <w:b/>
          <w:color w:val="auto"/>
          <w:sz w:val="22"/>
          <w:szCs w:val="24"/>
        </w:rPr>
      </w:pPr>
      <w:bookmarkStart w:id="572" w:name="_Toc351203643"/>
      <w:r>
        <w:rPr>
          <w:rFonts w:hint="eastAsia" w:ascii="仿宋" w:hAnsi="仿宋" w:eastAsia="仿宋" w:cs="仿宋"/>
          <w:b/>
          <w:color w:val="auto"/>
          <w:sz w:val="22"/>
          <w:szCs w:val="24"/>
        </w:rPr>
        <w:t>11. 价格调整</w:t>
      </w:r>
      <w:bookmarkEnd w:id="572"/>
    </w:p>
    <w:p w14:paraId="1A8F9810">
      <w:pPr>
        <w:adjustRightInd w:val="0"/>
        <w:snapToGrid w:val="0"/>
        <w:spacing w:line="360" w:lineRule="auto"/>
        <w:ind w:firstLine="440" w:firstLineChars="200"/>
        <w:jc w:val="left"/>
        <w:rPr>
          <w:rFonts w:hint="eastAsia" w:ascii="仿宋" w:hAnsi="仿宋" w:eastAsia="仿宋" w:cs="仿宋"/>
          <w:sz w:val="22"/>
        </w:rPr>
      </w:pPr>
      <w:bookmarkStart w:id="573" w:name="_Toc297123550"/>
      <w:bookmarkStart w:id="574" w:name="_Toc292559406"/>
      <w:bookmarkStart w:id="575" w:name="_Toc292559911"/>
      <w:bookmarkStart w:id="576" w:name="_Toc300935000"/>
      <w:bookmarkStart w:id="577" w:name="_Toc304295577"/>
      <w:bookmarkStart w:id="578" w:name="_Toc296891029"/>
      <w:bookmarkStart w:id="579" w:name="_Toc297216209"/>
      <w:bookmarkStart w:id="580" w:name="_Toc296891241"/>
      <w:bookmarkStart w:id="581" w:name="_Toc296944540"/>
      <w:bookmarkStart w:id="582" w:name="_Toc303539157"/>
      <w:bookmarkStart w:id="583" w:name="_Toc312678039"/>
      <w:bookmarkStart w:id="584" w:name="_Toc296346702"/>
      <w:bookmarkStart w:id="585" w:name="_Toc296503201"/>
      <w:bookmarkStart w:id="586" w:name="_Toc297120501"/>
      <w:bookmarkStart w:id="587" w:name="_Toc297048387"/>
      <w:bookmarkStart w:id="588" w:name="_Toc296347200"/>
      <w:r>
        <w:rPr>
          <w:rFonts w:hint="eastAsia" w:ascii="仿宋" w:hAnsi="仿宋" w:eastAsia="仿宋" w:cs="仿宋"/>
          <w:sz w:val="22"/>
        </w:rPr>
        <w:t>11.1 市场价格波动引起的调整</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14:paraId="11C9565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市场价格波动是否调整合同价格的约定：</w:t>
      </w:r>
      <w:r>
        <w:rPr>
          <w:rFonts w:hint="eastAsia" w:ascii="仿宋" w:hAnsi="仿宋" w:eastAsia="仿宋" w:cs="仿宋"/>
          <w:sz w:val="22"/>
          <w:u w:val="single"/>
        </w:rPr>
        <w:t xml:space="preserve"> 调整 </w:t>
      </w:r>
      <w:r>
        <w:rPr>
          <w:rFonts w:hint="eastAsia" w:ascii="仿宋" w:hAnsi="仿宋" w:eastAsia="仿宋" w:cs="仿宋"/>
          <w:sz w:val="22"/>
        </w:rPr>
        <w:t>。</w:t>
      </w:r>
    </w:p>
    <w:p w14:paraId="7400ECE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因市场价格波动调整合同价格，采用以下第</w:t>
      </w:r>
      <w:r>
        <w:rPr>
          <w:rFonts w:hint="eastAsia" w:ascii="仿宋" w:hAnsi="仿宋" w:eastAsia="仿宋" w:cs="仿宋"/>
          <w:sz w:val="22"/>
          <w:u w:val="single"/>
        </w:rPr>
        <w:t xml:space="preserve">  2  </w:t>
      </w:r>
      <w:r>
        <w:rPr>
          <w:rFonts w:hint="eastAsia" w:ascii="仿宋" w:hAnsi="仿宋" w:eastAsia="仿宋" w:cs="仿宋"/>
          <w:sz w:val="22"/>
        </w:rPr>
        <w:t>种方式对合同价格进行调整：</w:t>
      </w:r>
    </w:p>
    <w:p w14:paraId="628CB8A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第1种方式：采用价格指数进行价格调整。</w:t>
      </w:r>
    </w:p>
    <w:p w14:paraId="4B949FA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关于各可调因子、定值和变值权重，以及基本价格指数及其来源的约定：</w:t>
      </w:r>
      <w:r>
        <w:rPr>
          <w:rFonts w:hint="eastAsia" w:ascii="仿宋" w:hAnsi="仿宋" w:eastAsia="仿宋" w:cs="仿宋"/>
          <w:sz w:val="22"/>
          <w:u w:val="single"/>
        </w:rPr>
        <w:t xml:space="preserve"> / </w:t>
      </w:r>
      <w:r>
        <w:rPr>
          <w:rFonts w:hint="eastAsia" w:ascii="仿宋" w:hAnsi="仿宋" w:eastAsia="仿宋" w:cs="仿宋"/>
          <w:sz w:val="22"/>
        </w:rPr>
        <w:t xml:space="preserve">；  </w:t>
      </w:r>
    </w:p>
    <w:p w14:paraId="1FBCCFD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第2种方式：</w:t>
      </w:r>
      <w:r>
        <w:rPr>
          <w:rFonts w:hint="eastAsia" w:ascii="仿宋" w:hAnsi="仿宋" w:eastAsia="仿宋" w:cs="仿宋"/>
          <w:sz w:val="22"/>
          <w:u w:val="single"/>
        </w:rPr>
        <w:t>采用造价信息进行价格调整。具体按本合同12.1.1条执行。</w:t>
      </w:r>
    </w:p>
    <w:p w14:paraId="297E113F">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u w:val="single"/>
        </w:rPr>
        <w:t>（1）至本工程合同基准期（投标截止日前28天），其后国家的法律、法规、规章和政策发生变化时，应按省级或行业建设主管部门或其授权的工程造价管理机构发布的规定调整合同价款。人工单价发生变化且符合省级或行业建设主管部门发布的人工费调整规定，合同当事人应按省级或行业建设主管部门或其授权的工程造价管理机构发布的人工费等文件调整合同价格，但承包人对人工费或人工单价的投标报价高于发布价格的除外。</w:t>
      </w:r>
    </w:p>
    <w:p w14:paraId="646862D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主要材料市场价格波动超过《关于加强建筑材料价格风险控制的指导意见》苏建价[2008]67号文规定的范围，合同价格采用造价信息进行价格调整。需要进行价格调整的材料，其单价和采购数量应由发包人审批，发包人确认需调整的材料单价及数量，作为调整合同价格的依据。</w:t>
      </w:r>
    </w:p>
    <w:p w14:paraId="13A3F054">
      <w:pPr>
        <w:adjustRightInd w:val="0"/>
        <w:snapToGrid w:val="0"/>
        <w:spacing w:line="360" w:lineRule="auto"/>
        <w:ind w:firstLine="480"/>
        <w:jc w:val="left"/>
        <w:rPr>
          <w:rFonts w:hint="eastAsia" w:ascii="仿宋" w:hAnsi="仿宋" w:eastAsia="仿宋" w:cs="仿宋"/>
          <w:sz w:val="22"/>
          <w:u w:val="single"/>
        </w:rPr>
      </w:pPr>
      <w:r>
        <w:rPr>
          <w:rFonts w:hint="eastAsia" w:ascii="仿宋" w:hAnsi="仿宋" w:eastAsia="仿宋" w:cs="仿宋"/>
          <w:sz w:val="22"/>
          <w:u w:val="single"/>
        </w:rPr>
        <w:t>（3）施工机械台班单价或施工机械使用费发生变化超过省级或行业建设主管部门或其授权的工程造价管理机构规定的范围时，按规定调整合同价格。</w:t>
      </w:r>
    </w:p>
    <w:p w14:paraId="1347786C">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关于基准价格的约定</w:t>
      </w:r>
      <w:r>
        <w:rPr>
          <w:rStyle w:val="285"/>
          <w:rFonts w:hint="eastAsia" w:ascii="仿宋" w:hAnsi="仿宋" w:eastAsia="仿宋" w:cs="仿宋"/>
          <w:sz w:val="22"/>
          <w:szCs w:val="32"/>
        </w:rPr>
        <w:t>：</w:t>
      </w:r>
      <w:r>
        <w:rPr>
          <w:rFonts w:hint="eastAsia" w:ascii="仿宋" w:hAnsi="仿宋" w:eastAsia="仿宋" w:cs="仿宋"/>
          <w:sz w:val="22"/>
          <w:u w:val="single"/>
        </w:rPr>
        <w:t>材料、设备按</w:t>
      </w:r>
      <w:r>
        <w:rPr>
          <w:rStyle w:val="285"/>
          <w:rFonts w:hint="eastAsia" w:ascii="仿宋" w:hAnsi="仿宋" w:eastAsia="仿宋" w:cs="仿宋"/>
          <w:sz w:val="22"/>
          <w:szCs w:val="32"/>
          <w:u w:val="single"/>
        </w:rPr>
        <w:t>合同基准期（投标截止日28天前）</w:t>
      </w:r>
      <w:r>
        <w:rPr>
          <w:rFonts w:hint="eastAsia" w:ascii="仿宋" w:hAnsi="仿宋" w:eastAsia="仿宋" w:cs="仿宋"/>
          <w:sz w:val="22"/>
          <w:u w:val="single"/>
        </w:rPr>
        <w:t>的南京市建设工程造价管理处与南京市工程造价管理协会共同发布的《南京工程造价管理》中的指导价（缺指导价的材料以发包人确认的市场信息价）执行；人工、机械价格按</w:t>
      </w:r>
      <w:r>
        <w:rPr>
          <w:rStyle w:val="285"/>
          <w:rFonts w:hint="eastAsia" w:ascii="仿宋" w:hAnsi="仿宋" w:eastAsia="仿宋" w:cs="仿宋"/>
          <w:sz w:val="22"/>
          <w:szCs w:val="32"/>
          <w:u w:val="single"/>
        </w:rPr>
        <w:t>合同基准期（投标截止日28天前）</w:t>
      </w:r>
      <w:r>
        <w:rPr>
          <w:rFonts w:hint="eastAsia" w:ascii="仿宋" w:hAnsi="仿宋" w:eastAsia="仿宋" w:cs="仿宋"/>
          <w:sz w:val="22"/>
          <w:u w:val="single"/>
        </w:rPr>
        <w:t>的江苏省、南京市的相关文件规定执行</w:t>
      </w:r>
      <w:r>
        <w:rPr>
          <w:rFonts w:hint="eastAsia" w:ascii="仿宋" w:hAnsi="仿宋" w:eastAsia="仿宋" w:cs="仿宋"/>
          <w:sz w:val="22"/>
        </w:rPr>
        <w:t>。</w:t>
      </w:r>
    </w:p>
    <w:p w14:paraId="37E379A9">
      <w:pPr>
        <w:adjustRightInd w:val="0"/>
        <w:snapToGrid w:val="0"/>
        <w:spacing w:line="360" w:lineRule="auto"/>
        <w:ind w:firstLine="480"/>
        <w:jc w:val="left"/>
        <w:rPr>
          <w:rFonts w:hint="eastAsia" w:ascii="仿宋" w:hAnsi="仿宋" w:eastAsia="仿宋" w:cs="仿宋"/>
          <w:sz w:val="22"/>
        </w:rPr>
      </w:pPr>
      <w:r>
        <w:rPr>
          <w:rFonts w:hint="eastAsia" w:ascii="仿宋" w:hAnsi="仿宋" w:eastAsia="仿宋" w:cs="仿宋"/>
          <w:sz w:val="22"/>
        </w:rPr>
        <w:t>第3种方式：其他价格调整方式：</w:t>
      </w:r>
      <w:r>
        <w:rPr>
          <w:rFonts w:hint="eastAsia" w:ascii="仿宋" w:hAnsi="仿宋" w:eastAsia="仿宋" w:cs="仿宋"/>
          <w:sz w:val="22"/>
          <w:u w:val="single"/>
        </w:rPr>
        <w:t xml:space="preserve"> / </w:t>
      </w:r>
      <w:r>
        <w:rPr>
          <w:rFonts w:hint="eastAsia" w:ascii="仿宋" w:hAnsi="仿宋" w:eastAsia="仿宋" w:cs="仿宋"/>
          <w:sz w:val="22"/>
        </w:rPr>
        <w:t>。</w:t>
      </w:r>
    </w:p>
    <w:bookmarkEnd w:id="476"/>
    <w:bookmarkEnd w:id="477"/>
    <w:bookmarkEnd w:id="478"/>
    <w:bookmarkEnd w:id="479"/>
    <w:bookmarkEnd w:id="480"/>
    <w:bookmarkEnd w:id="481"/>
    <w:p w14:paraId="2CBF2B9A">
      <w:pPr>
        <w:pStyle w:val="5"/>
        <w:keepNext w:val="0"/>
        <w:adjustRightInd w:val="0"/>
        <w:snapToGrid w:val="0"/>
        <w:spacing w:line="360" w:lineRule="auto"/>
        <w:jc w:val="left"/>
        <w:rPr>
          <w:rFonts w:hint="eastAsia" w:ascii="仿宋" w:hAnsi="仿宋" w:eastAsia="仿宋" w:cs="仿宋"/>
          <w:b/>
          <w:color w:val="auto"/>
          <w:sz w:val="22"/>
          <w:szCs w:val="24"/>
        </w:rPr>
      </w:pPr>
      <w:bookmarkStart w:id="589" w:name="_Toc296891245"/>
      <w:bookmarkStart w:id="590" w:name="_Toc292559410"/>
      <w:bookmarkStart w:id="591" w:name="_Toc297120505"/>
      <w:bookmarkStart w:id="592" w:name="_Toc292559915"/>
      <w:bookmarkStart w:id="593" w:name="_Toc296346706"/>
      <w:bookmarkStart w:id="594" w:name="_Toc297048391"/>
      <w:bookmarkStart w:id="595" w:name="_Toc296891033"/>
      <w:bookmarkStart w:id="596" w:name="_Toc296944544"/>
      <w:bookmarkStart w:id="597" w:name="_Toc296503205"/>
      <w:bookmarkStart w:id="598" w:name="_Toc296347204"/>
      <w:bookmarkStart w:id="599" w:name="_Toc351203644"/>
      <w:bookmarkStart w:id="600" w:name="_Toc303539159"/>
      <w:bookmarkStart w:id="601" w:name="_Toc312678040"/>
      <w:bookmarkStart w:id="602" w:name="_Toc300935002"/>
      <w:bookmarkStart w:id="603" w:name="_Toc304295579"/>
      <w:bookmarkStart w:id="604" w:name="_Toc297216211"/>
      <w:bookmarkStart w:id="605" w:name="_Toc297123552"/>
      <w:r>
        <w:rPr>
          <w:rFonts w:hint="eastAsia" w:ascii="仿宋" w:hAnsi="仿宋" w:eastAsia="仿宋" w:cs="仿宋"/>
          <w:b/>
          <w:color w:val="auto"/>
          <w:sz w:val="22"/>
          <w:szCs w:val="24"/>
        </w:rPr>
        <w:t xml:space="preserve">12. </w:t>
      </w:r>
      <w:bookmarkEnd w:id="589"/>
      <w:bookmarkEnd w:id="590"/>
      <w:bookmarkEnd w:id="591"/>
      <w:bookmarkEnd w:id="592"/>
      <w:bookmarkEnd w:id="593"/>
      <w:bookmarkEnd w:id="594"/>
      <w:bookmarkEnd w:id="595"/>
      <w:bookmarkEnd w:id="596"/>
      <w:bookmarkEnd w:id="597"/>
      <w:bookmarkEnd w:id="598"/>
      <w:r>
        <w:rPr>
          <w:rFonts w:hint="eastAsia" w:ascii="仿宋" w:hAnsi="仿宋" w:eastAsia="仿宋" w:cs="仿宋"/>
          <w:b/>
          <w:color w:val="auto"/>
          <w:sz w:val="22"/>
          <w:szCs w:val="24"/>
        </w:rPr>
        <w:t>合同价格、计量与支付</w:t>
      </w:r>
      <w:bookmarkEnd w:id="599"/>
    </w:p>
    <w:bookmarkEnd w:id="600"/>
    <w:bookmarkEnd w:id="601"/>
    <w:bookmarkEnd w:id="602"/>
    <w:bookmarkEnd w:id="603"/>
    <w:bookmarkEnd w:id="604"/>
    <w:bookmarkEnd w:id="605"/>
    <w:p w14:paraId="3CF8794E">
      <w:pPr>
        <w:adjustRightInd w:val="0"/>
        <w:snapToGrid w:val="0"/>
        <w:spacing w:line="360" w:lineRule="auto"/>
        <w:ind w:firstLine="440" w:firstLineChars="200"/>
        <w:jc w:val="left"/>
        <w:rPr>
          <w:rFonts w:hint="eastAsia" w:ascii="仿宋" w:hAnsi="仿宋" w:eastAsia="仿宋" w:cs="仿宋"/>
          <w:sz w:val="22"/>
        </w:rPr>
      </w:pPr>
      <w:bookmarkStart w:id="606" w:name="_Toc292559411"/>
      <w:bookmarkStart w:id="607" w:name="_Toc292559916"/>
      <w:bookmarkStart w:id="608" w:name="_Toc267251461"/>
      <w:bookmarkStart w:id="609" w:name="_Toc296944545"/>
      <w:bookmarkStart w:id="610" w:name="_Toc297048392"/>
      <w:bookmarkStart w:id="611" w:name="_Toc296891034"/>
      <w:bookmarkStart w:id="612" w:name="_Toc296503206"/>
      <w:bookmarkStart w:id="613" w:name="_Toc297120506"/>
      <w:bookmarkStart w:id="614" w:name="_Toc296346707"/>
      <w:bookmarkStart w:id="615" w:name="_Toc296347205"/>
      <w:bookmarkStart w:id="616" w:name="_Toc296891246"/>
      <w:bookmarkStart w:id="617" w:name="_Toc297216212"/>
      <w:bookmarkStart w:id="618" w:name="_Toc304295580"/>
      <w:bookmarkStart w:id="619" w:name="_Toc300935003"/>
      <w:bookmarkStart w:id="620" w:name="_Toc312678041"/>
      <w:bookmarkStart w:id="621" w:name="_Toc297123553"/>
      <w:bookmarkStart w:id="622" w:name="_Toc303539160"/>
      <w:r>
        <w:rPr>
          <w:rFonts w:hint="eastAsia" w:ascii="仿宋" w:hAnsi="仿宋" w:eastAsia="仿宋" w:cs="仿宋"/>
          <w:sz w:val="22"/>
        </w:rPr>
        <w:t>12.1 合</w:t>
      </w:r>
      <w:bookmarkEnd w:id="606"/>
      <w:bookmarkEnd w:id="607"/>
      <w:bookmarkEnd w:id="608"/>
      <w:r>
        <w:rPr>
          <w:rFonts w:hint="eastAsia" w:ascii="仿宋" w:hAnsi="仿宋" w:eastAsia="仿宋" w:cs="仿宋"/>
          <w:sz w:val="22"/>
        </w:rPr>
        <w:t>同价</w:t>
      </w:r>
      <w:bookmarkEnd w:id="609"/>
      <w:bookmarkEnd w:id="610"/>
      <w:bookmarkEnd w:id="611"/>
      <w:bookmarkEnd w:id="612"/>
      <w:bookmarkEnd w:id="613"/>
      <w:bookmarkEnd w:id="614"/>
      <w:bookmarkEnd w:id="615"/>
      <w:bookmarkEnd w:id="616"/>
      <w:r>
        <w:rPr>
          <w:rFonts w:hint="eastAsia" w:ascii="仿宋" w:hAnsi="仿宋" w:eastAsia="仿宋" w:cs="仿宋"/>
          <w:sz w:val="22"/>
        </w:rPr>
        <w:t>格形式</w:t>
      </w:r>
    </w:p>
    <w:bookmarkEnd w:id="617"/>
    <w:bookmarkEnd w:id="618"/>
    <w:bookmarkEnd w:id="619"/>
    <w:bookmarkEnd w:id="620"/>
    <w:bookmarkEnd w:id="621"/>
    <w:bookmarkEnd w:id="622"/>
    <w:p w14:paraId="23526E5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1、单价合同。</w:t>
      </w:r>
    </w:p>
    <w:p w14:paraId="2C5EF01F">
      <w:pPr>
        <w:pStyle w:val="41"/>
        <w:spacing w:line="360" w:lineRule="auto"/>
        <w:ind w:firstLine="480"/>
        <w:rPr>
          <w:rFonts w:hint="eastAsia" w:ascii="仿宋" w:hAnsi="仿宋" w:eastAsia="仿宋" w:cs="仿宋"/>
          <w:sz w:val="22"/>
        </w:rPr>
      </w:pPr>
      <w:r>
        <w:rPr>
          <w:rFonts w:hint="eastAsia" w:ascii="仿宋" w:hAnsi="仿宋" w:eastAsia="仿宋" w:cs="仿宋"/>
          <w:sz w:val="22"/>
        </w:rPr>
        <w:t>综合单价包含的风险范围：</w:t>
      </w:r>
    </w:p>
    <w:p w14:paraId="512E8ECE">
      <w:pPr>
        <w:pStyle w:val="41"/>
        <w:spacing w:line="360" w:lineRule="auto"/>
        <w:rPr>
          <w:rFonts w:hint="eastAsia" w:ascii="仿宋" w:hAnsi="仿宋" w:eastAsia="仿宋" w:cs="仿宋"/>
          <w:sz w:val="22"/>
          <w:u w:val="single"/>
        </w:rPr>
      </w:pPr>
      <w:r>
        <w:rPr>
          <w:rFonts w:hint="eastAsia" w:ascii="仿宋" w:hAnsi="仿宋" w:eastAsia="仿宋" w:cs="仿宋"/>
          <w:sz w:val="22"/>
          <w:u w:val="single"/>
        </w:rPr>
        <w:t>1）主要材料市场价格波动在《关于加强建筑材料价格风险控制的指导意见》苏建价[2008]67 号文规定的范围以内的风险；非主要材料市场价格波动的风险；</w:t>
      </w:r>
    </w:p>
    <w:p w14:paraId="022961DC">
      <w:pPr>
        <w:pStyle w:val="41"/>
        <w:spacing w:line="360" w:lineRule="auto"/>
        <w:rPr>
          <w:rFonts w:hint="eastAsia" w:ascii="仿宋" w:hAnsi="仿宋" w:eastAsia="仿宋" w:cs="仿宋"/>
          <w:sz w:val="22"/>
          <w:u w:val="single"/>
        </w:rPr>
      </w:pPr>
      <w:r>
        <w:rPr>
          <w:rFonts w:hint="eastAsia" w:ascii="仿宋" w:hAnsi="仿宋" w:eastAsia="仿宋" w:cs="仿宋"/>
          <w:sz w:val="22"/>
          <w:u w:val="single"/>
        </w:rPr>
        <w:t>2）变化幅度 10%（含）以内的施工机械使用费的风险；</w:t>
      </w:r>
    </w:p>
    <w:p w14:paraId="089BF36A">
      <w:pPr>
        <w:pStyle w:val="41"/>
        <w:spacing w:line="360" w:lineRule="auto"/>
        <w:rPr>
          <w:rFonts w:hint="eastAsia" w:ascii="仿宋" w:hAnsi="仿宋" w:eastAsia="仿宋" w:cs="仿宋"/>
          <w:sz w:val="22"/>
          <w:u w:val="single"/>
        </w:rPr>
      </w:pPr>
      <w:r>
        <w:rPr>
          <w:rFonts w:hint="eastAsia" w:ascii="仿宋" w:hAnsi="仿宋" w:eastAsia="仿宋" w:cs="仿宋"/>
          <w:sz w:val="22"/>
          <w:u w:val="single"/>
        </w:rPr>
        <w:t>3）施工过程中因工艺要求需进行的场内排水、降水以及气候等因素给施工带来的不利影响的风险，投标前即有现场条件的不利因素风险和承包人根据自身技术水平、管理、经营状况能够自主控制的风险；</w:t>
      </w:r>
    </w:p>
    <w:p w14:paraId="61D5EFB7">
      <w:pPr>
        <w:pStyle w:val="41"/>
        <w:spacing w:line="360" w:lineRule="auto"/>
        <w:rPr>
          <w:rFonts w:hint="eastAsia" w:ascii="仿宋" w:hAnsi="仿宋" w:eastAsia="仿宋" w:cs="仿宋"/>
          <w:sz w:val="22"/>
          <w:u w:val="single"/>
        </w:rPr>
      </w:pPr>
      <w:r>
        <w:rPr>
          <w:rFonts w:hint="eastAsia" w:ascii="仿宋" w:hAnsi="仿宋" w:eastAsia="仿宋" w:cs="仿宋"/>
          <w:sz w:val="22"/>
          <w:u w:val="single"/>
        </w:rPr>
        <w:t>4）承包人的增值税税务风险。</w:t>
      </w:r>
    </w:p>
    <w:p w14:paraId="675A37E1">
      <w:pPr>
        <w:pStyle w:val="41"/>
        <w:spacing w:line="360" w:lineRule="auto"/>
        <w:rPr>
          <w:rFonts w:hint="eastAsia" w:ascii="仿宋" w:hAnsi="仿宋" w:eastAsia="仿宋" w:cs="仿宋"/>
          <w:sz w:val="22"/>
          <w:u w:val="single"/>
        </w:rPr>
      </w:pPr>
      <w:r>
        <w:rPr>
          <w:rFonts w:hint="eastAsia" w:ascii="仿宋" w:hAnsi="仿宋" w:eastAsia="仿宋" w:cs="仿宋"/>
          <w:sz w:val="22"/>
          <w:u w:val="single"/>
        </w:rPr>
        <w:t>5）本项目招标文件及本合同条款中明示的风险、责任和义务。</w:t>
      </w:r>
    </w:p>
    <w:p w14:paraId="0B1E9FB0">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 xml:space="preserve">    风险费用的计算方法：</w:t>
      </w:r>
      <w:r>
        <w:rPr>
          <w:rFonts w:hint="eastAsia" w:ascii="仿宋" w:hAnsi="仿宋" w:eastAsia="仿宋" w:cs="仿宋"/>
          <w:sz w:val="22"/>
          <w:u w:val="single"/>
        </w:rPr>
        <w:t>以上风险费用已含在合同总价内，不再另行计取</w:t>
      </w:r>
      <w:r>
        <w:rPr>
          <w:rFonts w:hint="eastAsia" w:ascii="仿宋" w:hAnsi="仿宋" w:eastAsia="仿宋" w:cs="仿宋"/>
          <w:sz w:val="22"/>
        </w:rPr>
        <w:t>。 </w:t>
      </w:r>
    </w:p>
    <w:p w14:paraId="30E0DA7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风险范围以外合同价格的调整方法：</w:t>
      </w:r>
    </w:p>
    <w:p w14:paraId="3D29AB3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（1）政策性调整和市场价格波动引起的调整：</w:t>
      </w:r>
    </w:p>
    <w:p w14:paraId="02997E3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至本工程投标截止日前28天，其后国家的法律、法规、规章和政策发生变化时，应按省级或行业建设主管部门或其授权的工程造价管理机构发布的规定调整合同价格。但承包人对人工费或人工单价的投标报价高于发布价格的除外。</w:t>
      </w:r>
    </w:p>
    <w:p w14:paraId="558B269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②环境保护税按南京市环保、税务部门实际规定调整。</w:t>
      </w:r>
    </w:p>
    <w:p w14:paraId="56556F2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③在合同履行期间，若发生建筑材料价格涨价或下降情况，承包人必须及时向发包人提交报告并备案。当工程施工期间非主要建筑材料价格上涨或下降的，其差价均由承包人承担或收益；若主要建筑材料市场价格波动较大，材料价格涨跌超出苏建价〔2008〕67号文件规定的范围时，调整办法为：</w:t>
      </w:r>
    </w:p>
    <w:p w14:paraId="26968117">
      <w:pPr>
        <w:tabs>
          <w:tab w:val="left" w:pos="0"/>
          <w:tab w:val="left" w:pos="993"/>
          <w:tab w:val="left" w:pos="1134"/>
        </w:tabs>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当工程施工期间第一类主要建筑材料价格上涨或下降幅度在10%以内的，其差价由承包人承担或受益，超过10%的部分由发包人承担或受益；当工程施工期间第二类主要建筑材料价格上涨或下降幅度在5%以内的，其差价由承包人承担或受益，超过5%的部分由发包人承担或受益。</w:t>
      </w:r>
    </w:p>
    <w:p w14:paraId="76E3193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B、一、二类材料取定按照苏建价〔2008〕67号文件规定。</w:t>
      </w:r>
    </w:p>
    <w:p w14:paraId="014BF06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C、主要材料价差的取定：</w:t>
      </w:r>
    </w:p>
    <w:p w14:paraId="5951B47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a.承包人投标报价中材料单价低于基准单价的：施工期间材料单价涨幅以基准单价为基础超过合同约定的风险幅度值，或材料单价跌幅以投标报价为基础超过合同约定的风险幅度值时，其超过部分按实调整。</w:t>
      </w:r>
    </w:p>
    <w:p w14:paraId="2E863E43">
      <w:pPr>
        <w:adjustRightInd w:val="0"/>
        <w:snapToGrid w:val="0"/>
        <w:spacing w:line="360" w:lineRule="auto"/>
        <w:ind w:firstLine="330" w:firstLineChars="150"/>
        <w:jc w:val="left"/>
        <w:rPr>
          <w:rFonts w:hint="eastAsia" w:ascii="仿宋" w:hAnsi="仿宋" w:eastAsia="仿宋" w:cs="仿宋"/>
          <w:sz w:val="22"/>
          <w:u w:val="single"/>
        </w:rPr>
      </w:pPr>
      <w:r>
        <w:rPr>
          <w:rFonts w:hint="eastAsia" w:ascii="仿宋" w:hAnsi="仿宋" w:eastAsia="仿宋" w:cs="仿宋"/>
          <w:sz w:val="22"/>
          <w:u w:val="single"/>
        </w:rPr>
        <w:t>b.承包人投标报价中材料单价高于基准单价的：施工期间材料单价跌幅以基准单价为基础超过合同约定的风险幅度值，或材料单价涨幅以投标报价为基础超过合同约定的风险幅度值时，其超过部分按实调整。</w:t>
      </w:r>
    </w:p>
    <w:p w14:paraId="6F0F5246">
      <w:pPr>
        <w:adjustRightInd w:val="0"/>
        <w:snapToGrid w:val="0"/>
        <w:spacing w:line="360" w:lineRule="auto"/>
        <w:ind w:firstLine="330" w:firstLineChars="150"/>
        <w:jc w:val="left"/>
        <w:rPr>
          <w:rFonts w:hint="eastAsia" w:ascii="仿宋" w:hAnsi="仿宋" w:eastAsia="仿宋" w:cs="仿宋"/>
          <w:sz w:val="22"/>
          <w:u w:val="single"/>
        </w:rPr>
      </w:pPr>
      <w:r>
        <w:rPr>
          <w:rFonts w:hint="eastAsia" w:ascii="仿宋" w:hAnsi="仿宋" w:eastAsia="仿宋" w:cs="仿宋"/>
          <w:sz w:val="22"/>
          <w:u w:val="single"/>
        </w:rPr>
        <w:t>c.承包人投标报价中材料单价等于基准单价的：施工期间材料单价涨、跌幅以基准单价为基础超合同约定的风险幅度值时，其超过部分按实调整。</w:t>
      </w:r>
    </w:p>
    <w:p w14:paraId="39D441A3">
      <w:pPr>
        <w:tabs>
          <w:tab w:val="left" w:pos="0"/>
          <w:tab w:val="left" w:pos="993"/>
          <w:tab w:val="left" w:pos="1134"/>
        </w:tabs>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施工期间材料单价=∑（每月实际使用量×当月材料指导价）/价格调整周期内同类材料总用量。</w:t>
      </w:r>
    </w:p>
    <w:p w14:paraId="1EE6EDF2">
      <w:pPr>
        <w:adjustRightInd w:val="0"/>
        <w:snapToGrid w:val="0"/>
        <w:spacing w:line="360" w:lineRule="auto"/>
        <w:ind w:firstLine="330" w:firstLineChars="150"/>
        <w:jc w:val="left"/>
        <w:rPr>
          <w:rFonts w:hint="eastAsia" w:ascii="仿宋" w:hAnsi="仿宋" w:eastAsia="仿宋" w:cs="仿宋"/>
          <w:sz w:val="22"/>
          <w:u w:val="single"/>
        </w:rPr>
      </w:pPr>
      <w:r>
        <w:rPr>
          <w:rFonts w:hint="eastAsia" w:ascii="仿宋" w:hAnsi="仿宋" w:eastAsia="仿宋" w:cs="仿宋"/>
          <w:sz w:val="22"/>
          <w:u w:val="single"/>
        </w:rPr>
        <w:t>d.材料价格的调整在竣工结算时一次性调整。</w:t>
      </w:r>
    </w:p>
    <w:p w14:paraId="1C432DB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w:t>
      </w:r>
      <w:r>
        <w:rPr>
          <w:rStyle w:val="285"/>
          <w:rFonts w:hint="eastAsia" w:ascii="仿宋" w:hAnsi="仿宋" w:eastAsia="仿宋" w:cs="仿宋"/>
          <w:sz w:val="22"/>
          <w:szCs w:val="32"/>
          <w:u w:val="single"/>
        </w:rPr>
        <w:t>工程造价管理机构发布的</w:t>
      </w:r>
      <w:r>
        <w:rPr>
          <w:rFonts w:hint="eastAsia" w:ascii="仿宋" w:hAnsi="仿宋" w:eastAsia="仿宋" w:cs="仿宋"/>
          <w:sz w:val="22"/>
          <w:u w:val="single"/>
        </w:rPr>
        <w:t>指导价</w:t>
      </w:r>
      <w:r>
        <w:rPr>
          <w:rStyle w:val="285"/>
          <w:rFonts w:hint="eastAsia" w:ascii="仿宋" w:hAnsi="仿宋" w:eastAsia="仿宋" w:cs="仿宋"/>
          <w:sz w:val="22"/>
          <w:szCs w:val="32"/>
          <w:u w:val="single"/>
        </w:rPr>
        <w:t>缺价的，应由承包人根据变更工程资料通过市场调查等取得有合法依据的市场价格提出变更单价，并报发包人确认后调整。发包人组织市场调研的，</w:t>
      </w:r>
      <w:r>
        <w:rPr>
          <w:rFonts w:hint="eastAsia" w:ascii="仿宋" w:hAnsi="仿宋" w:eastAsia="仿宋" w:cs="仿宋"/>
          <w:sz w:val="22"/>
          <w:u w:val="single"/>
        </w:rPr>
        <w:t>承包人必须配合发包人组织的市场调研，如承包人收到发包人的调研结果后3日内未回复意见，视同认可发包人的调研结果。</w:t>
      </w:r>
    </w:p>
    <w:p w14:paraId="583C8B6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需要进行价格调整的材料，承包人在采购材料前将采购单价和采购数量必须报经发包人审批，发包人确认需调整的材料单价及数量，作为调整合同价格的依据。发包人在收到承包人报送的资料后3个工作日不予答复的视为已经认可，作为调整合同价款的依据。如果承包人未报经发包人核对即自行采购材料，再报发包入确认调整合同价款的，如发包人不书面同意，则不作调整。</w:t>
      </w:r>
    </w:p>
    <w:p w14:paraId="25BDFAA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（2）因分部分项工程量清单漏项、非承包人原因的工程变更、或者施工中出现施工图纸（含设计变更）与工程量清单项目特征描述不符的，造成增加新的工程量清单项目，其对应的综合单价按下列方法确定： </w:t>
      </w:r>
    </w:p>
    <w:p w14:paraId="04452CD7">
      <w:pPr>
        <w:tabs>
          <w:tab w:val="left" w:pos="0"/>
          <w:tab w:val="left" w:pos="993"/>
          <w:tab w:val="left" w:pos="1134"/>
        </w:tabs>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新增工程量清单项目的项目特征与招标文件工程量清单中项目相同的，按投标报价的综合单价计算。当工程变更使工程量清单项目工程量变化或工程量清单项目偏差幅度超过15%时，综合单价可进行调整。当工程量增加15%以上时，增加部分的工程量的综合单价予以调低；当工程量减少15%以上时，减少后剩余部分的工程量的综合单价予以调高。</w:t>
      </w:r>
    </w:p>
    <w:p w14:paraId="6CD5DD9D">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新增工程量清单项目的项目特征与招标文件工程量清单中项目类似的，综合单价按类似项目在《建设工程工程量清单计价规范》（GB50500-2013）、《江苏省建筑与装饰工程计价定额》（2014年）、《江苏省安装工程计价定额》（2014年）、《江苏省市政工程计价定额》（2014年）、《江苏省仿古建筑与园林工程计价表》（2007年）、江苏省建设工程费用定额》（2014 年）以及省住建厅</w:t>
      </w:r>
      <w:r>
        <w:rPr>
          <w:rFonts w:hint="eastAsia" w:ascii="仿宋" w:hAnsi="仿宋" w:eastAsia="仿宋" w:cs="仿宋"/>
          <w:sz w:val="22"/>
          <w:szCs w:val="32"/>
          <w:u w:val="single"/>
        </w:rPr>
        <w:t>《省住房城乡建设厅关于调整建设工程计价增值税税率的通知》（苏建函价〔2019〕178号）文件</w:t>
      </w:r>
      <w:r>
        <w:rPr>
          <w:rFonts w:hint="eastAsia" w:ascii="仿宋" w:hAnsi="仿宋" w:eastAsia="仿宋" w:cs="仿宋"/>
          <w:sz w:val="22"/>
          <w:u w:val="single"/>
        </w:rPr>
        <w:t>中的人工、材料、机械台班耗用量，类似项目投标报价时的人工、机械台班单价、管理费、利润等费用标准及材料价格（无投标价的材料按施工时期的材料指导价或经发包人确认的市场价）计算，作为结算单价。其相应综合单价及材料市场价由承包人提出，经发包人和监理人及跟踪审计人审核后确定。</w:t>
      </w:r>
    </w:p>
    <w:p w14:paraId="63A3C20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上述的“与招标文件工程量清单中项目类似的”新增项目，指与分部分项工程量清单项目编码一至九位完全相同的新增的分部分项工程。</w:t>
      </w:r>
    </w:p>
    <w:p w14:paraId="1C565E7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投标报价中没有综合单价的新增工程量清单项目，新增综合单价按《建设工程工程量清单计价规范》（GB50500-2013）、《江苏省建筑与装饰工程计价定额》（2014年）、《江苏省安装工程计价定额》（2014年）、《江苏省市政工程计价定额》（2014年）、《江苏省仿古建筑与园林工程计价表》（2007年）、江苏省建设工程费用定额》（2014 年）以及省住建厅</w:t>
      </w:r>
      <w:r>
        <w:rPr>
          <w:rFonts w:hint="eastAsia" w:ascii="仿宋" w:hAnsi="仿宋" w:eastAsia="仿宋" w:cs="仿宋"/>
          <w:sz w:val="22"/>
          <w:szCs w:val="32"/>
          <w:u w:val="single"/>
        </w:rPr>
        <w:t>《省住房城乡建设厅关于调整建设工程计价增值税税率的通知》（苏建函价〔2019〕178号）</w:t>
      </w:r>
      <w:r>
        <w:rPr>
          <w:rFonts w:hint="eastAsia" w:ascii="仿宋" w:hAnsi="仿宋" w:eastAsia="仿宋" w:cs="仿宋"/>
          <w:sz w:val="22"/>
          <w:u w:val="single"/>
        </w:rPr>
        <w:t>文件中的人工、材料、机械台班耗用量，合同基准日期的人工、机械台班单价、材料价格（</w:t>
      </w:r>
      <w:r>
        <w:rPr>
          <w:rStyle w:val="285"/>
          <w:rFonts w:hint="eastAsia" w:ascii="仿宋" w:hAnsi="仿宋" w:eastAsia="仿宋" w:cs="仿宋"/>
          <w:sz w:val="22"/>
          <w:szCs w:val="32"/>
          <w:u w:val="single"/>
        </w:rPr>
        <w:t>材料</w:t>
      </w:r>
      <w:r>
        <w:rPr>
          <w:rFonts w:hint="eastAsia" w:ascii="仿宋" w:hAnsi="仿宋" w:eastAsia="仿宋" w:cs="仿宋"/>
          <w:sz w:val="22"/>
          <w:u w:val="single"/>
        </w:rPr>
        <w:t>指导价或经发包人确认的市场价），套用</w:t>
      </w:r>
      <w:r>
        <w:rPr>
          <w:rStyle w:val="287"/>
          <w:rFonts w:hint="eastAsia" w:ascii="仿宋" w:hAnsi="仿宋" w:eastAsia="仿宋" w:cs="仿宋"/>
          <w:sz w:val="22"/>
        </w:rPr>
        <w:t>定额或</w:t>
      </w:r>
      <w:r>
        <w:rPr>
          <w:rFonts w:hint="eastAsia" w:ascii="仿宋" w:hAnsi="仿宋" w:eastAsia="仿宋" w:cs="仿宋"/>
          <w:sz w:val="22"/>
          <w:u w:val="single"/>
        </w:rPr>
        <w:t>计价表相应的管理费和利润的取费标准，由承包人按承包人报价浮动率L＝（1－中标价／招标控制价）×100%（当L＜5%时取L＝5%）提出变更工程项目的单价。</w:t>
      </w:r>
    </w:p>
    <w:p w14:paraId="38735E6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D、投标报价中没有综合单价的新增工程量清单项目， 新增综合单价在《建设工程工程量清单计价规范》（GB50500-2013）、《江苏省建筑与装饰工程计价定额》（2014年）、《江苏省安装工程计价定额》（2014年）、《江苏省市政工程计价定额》（2014年）、《江苏省仿古建筑与园林工程计价表》（2007年）、江苏省建设工程费用定额》（2014 年）以及省住建厅</w:t>
      </w:r>
      <w:r>
        <w:rPr>
          <w:rFonts w:hint="eastAsia" w:ascii="仿宋" w:hAnsi="仿宋" w:eastAsia="仿宋" w:cs="仿宋"/>
          <w:sz w:val="22"/>
          <w:szCs w:val="32"/>
          <w:u w:val="single"/>
        </w:rPr>
        <w:t>《省住房城乡建设厅关于调整建设工程计价增值税税率的通知》（苏建函价〔2019〕178号）</w:t>
      </w:r>
      <w:r>
        <w:rPr>
          <w:rFonts w:hint="eastAsia" w:ascii="仿宋" w:hAnsi="仿宋" w:eastAsia="仿宋" w:cs="仿宋"/>
          <w:sz w:val="22"/>
          <w:u w:val="single"/>
        </w:rPr>
        <w:t>文件中人工、材料、机械台班耗用量缺项的，由承包人根据变更工程资料、计量规则、计价办法对其人工、材料、机械台班耗用量自行测算，按合同基准日期的人工、机械台班单价、材料价格（</w:t>
      </w:r>
      <w:r>
        <w:rPr>
          <w:rStyle w:val="285"/>
          <w:rFonts w:hint="eastAsia" w:ascii="仿宋" w:hAnsi="仿宋" w:eastAsia="仿宋" w:cs="仿宋"/>
          <w:sz w:val="22"/>
          <w:szCs w:val="32"/>
          <w:u w:val="single"/>
        </w:rPr>
        <w:t>材料</w:t>
      </w:r>
      <w:r>
        <w:rPr>
          <w:rFonts w:hint="eastAsia" w:ascii="仿宋" w:hAnsi="仿宋" w:eastAsia="仿宋" w:cs="仿宋"/>
          <w:sz w:val="22"/>
          <w:u w:val="single"/>
        </w:rPr>
        <w:t>指导价或经发包人确认的市场价）计算，套用</w:t>
      </w:r>
      <w:r>
        <w:rPr>
          <w:rStyle w:val="287"/>
          <w:rFonts w:hint="eastAsia" w:ascii="仿宋" w:hAnsi="仿宋" w:eastAsia="仿宋" w:cs="仿宋"/>
          <w:sz w:val="22"/>
        </w:rPr>
        <w:t>定额或</w:t>
      </w:r>
      <w:r>
        <w:rPr>
          <w:rFonts w:hint="eastAsia" w:ascii="仿宋" w:hAnsi="仿宋" w:eastAsia="仿宋" w:cs="仿宋"/>
          <w:sz w:val="22"/>
          <w:u w:val="single"/>
        </w:rPr>
        <w:t>计价表相应的管理费和利润的取费标准，由承包人按承包人报价浮动率L＝（1－中标价／招标控制价）×100%（当L＜5%时取L＝5%）提出变更工程项目的单价。</w:t>
      </w:r>
    </w:p>
    <w:p w14:paraId="3CF9D82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E、新增综合单价及材料市场价由承包人提出，经发包人和监理人及跟踪审计人审核确定。</w:t>
      </w:r>
    </w:p>
    <w:p w14:paraId="57E6539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在施工过程中无论承包人所采用的施工措施是否与投标时一致，发包人不接受以方案不能实施等原因，提出变更调整措施费用的要求，发包人均认为其施工措施费在投标报价中已综合考虑，结算时该费用不再调整。因分部分项工程量清单漏项或非承包人原因的工程变更，引起措施项目发生变化，造成施工组织设计或施工方案变更，承包人须事先将拟实施的方案提交给发包人确认后，措施项目费应按下列原则调整： </w:t>
      </w:r>
    </w:p>
    <w:p w14:paraId="3A21B8A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①单价措施项目变更原则同分部分项工程；</w:t>
      </w:r>
    </w:p>
    <w:p w14:paraId="3AB493C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②总价措施项目中以费率报价的,费率不变；总价项目中以费用报价的,按投标报价浮动率L折算成费率调整；</w:t>
      </w:r>
    </w:p>
    <w:p w14:paraId="3C957E2D">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③原措施费中没有的措施项目,由承包人按投标时囗径提出适当的措施费变更要求,经发包人确认后调整。</w:t>
      </w:r>
    </w:p>
    <w:p w14:paraId="4E16521F">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（4）招标时工程量清单未施工的项目，竣工价款结算时应予以扣除（包括措施费）。</w:t>
      </w:r>
    </w:p>
    <w:p w14:paraId="49595DE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（5）关于暂定价材料的价格结算：</w:t>
      </w:r>
    </w:p>
    <w:p w14:paraId="0475582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如属甲供仍按暂定价格进行结算并按暂定价格扣回；如属乙供仅调整材料价差，其他费用一律不予调整。</w:t>
      </w:r>
    </w:p>
    <w:p w14:paraId="24C421E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（6）施工机械台班单价或施工机械使用费发生变化超过10%的范围时，按市工程造价管理机构的规定进行调整。</w:t>
      </w:r>
    </w:p>
    <w:p w14:paraId="1355117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（7）不可抗力事件导致的费用，发、承包人按以下原则分别承担并调整合同价格： </w:t>
      </w:r>
    </w:p>
    <w:p w14:paraId="418C538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A、工程本身的损害、因工程损害导致双方或第三方人员伤亡和财产损失以及运至施工场地用于施工的材料和待安装的设备的损害，由承包人承担；</w:t>
      </w:r>
    </w:p>
    <w:p w14:paraId="3F6C621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B、发包人、承包人人员伤亡由其所在单位负责，并承担相应费用；</w:t>
      </w:r>
    </w:p>
    <w:p w14:paraId="3BFAF6B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C、承包人的施工机械设备损坏及停工损失，由承包人承担；</w:t>
      </w:r>
    </w:p>
    <w:p w14:paraId="25D7FB2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D、停工期间，承包人应发包人要求留在施工场地的必要的管理人员及保卫人员的费用，由发包人承担； </w:t>
      </w:r>
    </w:p>
    <w:p w14:paraId="69CB399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E、工程所需清理、修复费用，由发包人承担。</w:t>
      </w:r>
    </w:p>
    <w:p w14:paraId="346C828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（8）风险范围以外合同价格的调整应按税法规定的一般计税方法计算增值税。</w:t>
      </w:r>
    </w:p>
    <w:p w14:paraId="41D89C3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合同价格调整报告应由受益方在工程施工14天前向合同的另一方提出，经对方确认后调整合同价格。受益方未在工程施工14天前提出合同价格调整报告的，视为不涉及合同价格的调整；收到合同价格调整报告的一方应在14天内确认或提出协商意见，否则，视为合同价格调整报告已经确认。</w:t>
      </w:r>
    </w:p>
    <w:p w14:paraId="2DED804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u w:val="single"/>
        </w:rPr>
        <w:t>发生风险范围以外合同价款调整因素，承包人应及时申报合同价格调整报告并申请计量，于工程竣工结算时调整合同价格。</w:t>
      </w:r>
    </w:p>
    <w:p w14:paraId="04F0A746">
      <w:pPr>
        <w:adjustRightInd w:val="0"/>
        <w:snapToGrid w:val="0"/>
        <w:spacing w:line="360" w:lineRule="auto"/>
        <w:ind w:firstLine="420"/>
        <w:jc w:val="left"/>
        <w:rPr>
          <w:rFonts w:hint="eastAsia" w:ascii="仿宋" w:hAnsi="仿宋" w:eastAsia="仿宋" w:cs="仿宋"/>
          <w:sz w:val="22"/>
          <w:u w:val="single"/>
        </w:rPr>
      </w:pPr>
      <w:r>
        <w:rPr>
          <w:rFonts w:hint="eastAsia" w:ascii="仿宋" w:hAnsi="仿宋" w:eastAsia="仿宋" w:cs="仿宋"/>
          <w:sz w:val="22"/>
          <w:u w:val="single"/>
        </w:rPr>
        <w:t>（9）安全文明施工费用包含基本费、标化工地增加费、扬尘污染防治增加费。其中标化增加费，结算时按本合同6.1.6条执行。</w:t>
      </w:r>
    </w:p>
    <w:p w14:paraId="1F4DD80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2、总价合同。</w:t>
      </w:r>
    </w:p>
    <w:p w14:paraId="0864ABAF">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总价包含的风险范围：</w:t>
      </w:r>
      <w:r>
        <w:rPr>
          <w:rFonts w:hint="eastAsia" w:ascii="仿宋" w:hAnsi="仿宋" w:eastAsia="仿宋" w:cs="仿宋"/>
          <w:sz w:val="22"/>
          <w:u w:val="single"/>
        </w:rPr>
        <w:t xml:space="preserve">  /  </w:t>
      </w:r>
      <w:r>
        <w:rPr>
          <w:rFonts w:hint="eastAsia" w:ascii="仿宋" w:hAnsi="仿宋" w:eastAsia="仿宋" w:cs="仿宋"/>
          <w:sz w:val="22"/>
        </w:rPr>
        <w:t>。</w:t>
      </w:r>
    </w:p>
    <w:p w14:paraId="191AFBB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风险费用的计算方法：</w:t>
      </w:r>
      <w:r>
        <w:rPr>
          <w:rFonts w:hint="eastAsia" w:ascii="仿宋" w:hAnsi="仿宋" w:eastAsia="仿宋" w:cs="仿宋"/>
          <w:sz w:val="22"/>
          <w:u w:val="single"/>
        </w:rPr>
        <w:t xml:space="preserve">  /  </w:t>
      </w:r>
      <w:r>
        <w:rPr>
          <w:rFonts w:hint="eastAsia" w:ascii="仿宋" w:hAnsi="仿宋" w:eastAsia="仿宋" w:cs="仿宋"/>
          <w:sz w:val="22"/>
        </w:rPr>
        <w:t>。</w:t>
      </w:r>
    </w:p>
    <w:p w14:paraId="3B377C9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风险范围以外合同价格的调整方法：</w:t>
      </w:r>
      <w:r>
        <w:rPr>
          <w:rFonts w:hint="eastAsia" w:ascii="仿宋" w:hAnsi="仿宋" w:eastAsia="仿宋" w:cs="仿宋"/>
          <w:sz w:val="22"/>
          <w:u w:val="single"/>
        </w:rPr>
        <w:t xml:space="preserve">  /  </w:t>
      </w:r>
      <w:r>
        <w:rPr>
          <w:rFonts w:hint="eastAsia" w:ascii="仿宋" w:hAnsi="仿宋" w:eastAsia="仿宋" w:cs="仿宋"/>
          <w:sz w:val="22"/>
        </w:rPr>
        <w:t>。</w:t>
      </w:r>
    </w:p>
    <w:p w14:paraId="5AB36FE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3、其他价格方式：</w:t>
      </w:r>
      <w:r>
        <w:rPr>
          <w:rFonts w:hint="eastAsia" w:ascii="仿宋" w:hAnsi="仿宋" w:eastAsia="仿宋" w:cs="仿宋"/>
          <w:sz w:val="22"/>
          <w:u w:val="single"/>
        </w:rPr>
        <w:t xml:space="preserve">  /  </w:t>
      </w:r>
      <w:r>
        <w:rPr>
          <w:rFonts w:hint="eastAsia" w:ascii="仿宋" w:hAnsi="仿宋" w:eastAsia="仿宋" w:cs="仿宋"/>
          <w:sz w:val="22"/>
        </w:rPr>
        <w:t>。</w:t>
      </w:r>
    </w:p>
    <w:p w14:paraId="30D953A7">
      <w:pPr>
        <w:adjustRightInd w:val="0"/>
        <w:snapToGrid w:val="0"/>
        <w:spacing w:line="360" w:lineRule="auto"/>
        <w:ind w:firstLine="440" w:firstLineChars="200"/>
        <w:jc w:val="left"/>
        <w:rPr>
          <w:rFonts w:hint="eastAsia" w:ascii="仿宋" w:hAnsi="仿宋" w:eastAsia="仿宋" w:cs="仿宋"/>
          <w:sz w:val="22"/>
        </w:rPr>
      </w:pPr>
      <w:bookmarkStart w:id="623" w:name="_Toc304295581"/>
      <w:bookmarkStart w:id="624" w:name="_Toc297216213"/>
      <w:bookmarkStart w:id="625" w:name="_Toc312678042"/>
      <w:bookmarkStart w:id="626" w:name="_Toc303539161"/>
      <w:bookmarkStart w:id="627" w:name="_Toc300935004"/>
      <w:bookmarkStart w:id="628" w:name="_Toc297123554"/>
      <w:bookmarkStart w:id="629" w:name="_Toc296891035"/>
      <w:bookmarkStart w:id="630" w:name="_Toc296503207"/>
      <w:bookmarkStart w:id="631" w:name="_Toc297120507"/>
      <w:bookmarkStart w:id="632" w:name="_Toc296346708"/>
      <w:bookmarkStart w:id="633" w:name="_Toc296944546"/>
      <w:bookmarkStart w:id="634" w:name="_Toc297048393"/>
      <w:bookmarkStart w:id="635" w:name="_Toc296891247"/>
      <w:bookmarkStart w:id="636" w:name="_Toc292559917"/>
      <w:bookmarkStart w:id="637" w:name="_Toc296347206"/>
      <w:bookmarkStart w:id="638" w:name="_Toc292559412"/>
      <w:r>
        <w:rPr>
          <w:rFonts w:hint="eastAsia" w:ascii="仿宋" w:hAnsi="仿宋" w:eastAsia="仿宋" w:cs="仿宋"/>
          <w:sz w:val="22"/>
        </w:rPr>
        <w:t>12.2 预付款</w:t>
      </w:r>
    </w:p>
    <w:bookmarkEnd w:id="623"/>
    <w:bookmarkEnd w:id="624"/>
    <w:bookmarkEnd w:id="625"/>
    <w:bookmarkEnd w:id="626"/>
    <w:bookmarkEnd w:id="627"/>
    <w:bookmarkEnd w:id="628"/>
    <w:p w14:paraId="1C6AF9D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12.2.1 预付款的支付</w:t>
      </w:r>
    </w:p>
    <w:p w14:paraId="4F00AF6F">
      <w:pPr>
        <w:pStyle w:val="22"/>
        <w:adjustRightInd w:val="0"/>
        <w:snapToGrid w:val="0"/>
        <w:spacing w:line="360" w:lineRule="auto"/>
        <w:jc w:val="left"/>
        <w:rPr>
          <w:rFonts w:hint="eastAsia" w:ascii="仿宋" w:hAnsi="仿宋" w:eastAsia="仿宋" w:cs="仿宋"/>
          <w:sz w:val="22"/>
          <w:szCs w:val="24"/>
          <w:u w:val="single"/>
        </w:rPr>
      </w:pPr>
      <w:r>
        <w:rPr>
          <w:rFonts w:hint="eastAsia" w:ascii="仿宋" w:hAnsi="仿宋" w:eastAsia="仿宋" w:cs="仿宋"/>
          <w:sz w:val="22"/>
          <w:szCs w:val="24"/>
        </w:rPr>
        <w:t xml:space="preserve">    预付款支付比例或金额：</w:t>
      </w:r>
      <w:r>
        <w:rPr>
          <w:rFonts w:hint="eastAsia" w:ascii="仿宋" w:hAnsi="仿宋" w:eastAsia="仿宋" w:cs="仿宋"/>
          <w:sz w:val="22"/>
          <w:szCs w:val="24"/>
          <w:u w:val="single"/>
        </w:rPr>
        <w:t>30%。</w:t>
      </w:r>
    </w:p>
    <w:p w14:paraId="685723D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预付款支付期限：</w:t>
      </w:r>
      <w:r>
        <w:rPr>
          <w:rFonts w:hint="eastAsia" w:ascii="仿宋" w:hAnsi="仿宋" w:eastAsia="仿宋" w:cs="仿宋"/>
          <w:sz w:val="22"/>
          <w:u w:val="single"/>
        </w:rPr>
        <w:t>/。</w:t>
      </w:r>
    </w:p>
    <w:p w14:paraId="7206EC3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预付款扣回方式：</w:t>
      </w:r>
      <w:r>
        <w:rPr>
          <w:rFonts w:hint="eastAsia" w:ascii="仿宋" w:hAnsi="仿宋" w:eastAsia="仿宋" w:cs="仿宋"/>
          <w:sz w:val="22"/>
          <w:u w:val="single"/>
        </w:rPr>
        <w:t>/。</w:t>
      </w:r>
    </w:p>
    <w:bookmarkEnd w:id="629"/>
    <w:bookmarkEnd w:id="630"/>
    <w:bookmarkEnd w:id="631"/>
    <w:bookmarkEnd w:id="632"/>
    <w:bookmarkEnd w:id="633"/>
    <w:bookmarkEnd w:id="634"/>
    <w:bookmarkEnd w:id="635"/>
    <w:bookmarkEnd w:id="636"/>
    <w:bookmarkEnd w:id="637"/>
    <w:bookmarkEnd w:id="638"/>
    <w:p w14:paraId="0EA1A0A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12.2.2 预付款担保</w:t>
      </w:r>
    </w:p>
    <w:p w14:paraId="699DCF7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承包人提交预付款担保的期限：</w:t>
      </w:r>
      <w:r>
        <w:rPr>
          <w:rFonts w:hint="eastAsia" w:ascii="仿宋" w:hAnsi="仿宋" w:eastAsia="仿宋" w:cs="仿宋"/>
          <w:sz w:val="22"/>
          <w:u w:val="single"/>
        </w:rPr>
        <w:t>不采用</w:t>
      </w:r>
      <w:r>
        <w:rPr>
          <w:rFonts w:hint="eastAsia" w:ascii="仿宋" w:hAnsi="仿宋" w:eastAsia="仿宋" w:cs="仿宋"/>
          <w:sz w:val="22"/>
        </w:rPr>
        <w:t>。</w:t>
      </w:r>
    </w:p>
    <w:p w14:paraId="662CA7B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预付款担保的形式为：</w:t>
      </w:r>
      <w:r>
        <w:rPr>
          <w:rFonts w:hint="eastAsia" w:ascii="仿宋" w:hAnsi="仿宋" w:eastAsia="仿宋" w:cs="仿宋"/>
          <w:sz w:val="22"/>
          <w:u w:val="single"/>
        </w:rPr>
        <w:t>不采用。</w:t>
      </w:r>
    </w:p>
    <w:p w14:paraId="5A2A62F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 计量</w:t>
      </w:r>
    </w:p>
    <w:p w14:paraId="27231E2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12.3.1 计量原则</w:t>
      </w:r>
    </w:p>
    <w:p w14:paraId="0949A80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工程量计算规则：</w:t>
      </w:r>
      <w:r>
        <w:rPr>
          <w:rFonts w:hint="eastAsia" w:ascii="仿宋" w:hAnsi="仿宋" w:eastAsia="仿宋" w:cs="仿宋"/>
          <w:sz w:val="22"/>
          <w:u w:val="single"/>
        </w:rPr>
        <w:t>按苏建价（2014）448号《省住房城乡建设厅关于〈建设工程工程量清单计价规范〉（GB50500-2013）及其 9本工程量计算规范的贯彻意见》执行。</w:t>
      </w:r>
    </w:p>
    <w:p w14:paraId="69BEC0F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12.3.2 计量周期</w:t>
      </w:r>
    </w:p>
    <w:p w14:paraId="55FCDF8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关于计量周期的约定：</w:t>
      </w:r>
      <w:r>
        <w:rPr>
          <w:rStyle w:val="287"/>
          <w:rFonts w:hint="eastAsia" w:ascii="仿宋" w:hAnsi="仿宋" w:eastAsia="仿宋" w:cs="仿宋"/>
          <w:sz w:val="22"/>
        </w:rPr>
        <w:t>工程量的计量按月进行。</w:t>
      </w:r>
      <w:r>
        <w:rPr>
          <w:rFonts w:hint="eastAsia" w:ascii="仿宋" w:hAnsi="仿宋" w:eastAsia="仿宋" w:cs="仿宋"/>
          <w:sz w:val="22"/>
          <w:u w:val="single"/>
        </w:rPr>
        <w:t>隐蔽工程工程量的计量与现场签收必须随隐蔽工程验收在覆盖、掩盖前进行。承包人应于每月25日向发包人报送上月20日至当月19日已完成的工程量报告、报表和有关资料。</w:t>
      </w:r>
    </w:p>
    <w:p w14:paraId="611903AE">
      <w:pPr>
        <w:adjustRightInd w:val="0"/>
        <w:snapToGrid w:val="0"/>
        <w:spacing w:line="360" w:lineRule="auto"/>
        <w:ind w:firstLine="440" w:firstLineChars="200"/>
        <w:jc w:val="left"/>
        <w:rPr>
          <w:rFonts w:hint="eastAsia" w:ascii="仿宋" w:hAnsi="仿宋" w:eastAsia="仿宋" w:cs="仿宋"/>
          <w:sz w:val="22"/>
        </w:rPr>
      </w:pPr>
      <w:r>
        <w:rPr>
          <w:rStyle w:val="287"/>
          <w:rFonts w:hint="eastAsia" w:ascii="仿宋" w:hAnsi="仿宋" w:eastAsia="仿宋" w:cs="仿宋"/>
          <w:sz w:val="22"/>
        </w:rPr>
        <w:t>对于发包人要求承包人完成合同以外的零星项目，承包人应在接受发包人书面要求的7天内就用工数量和单价、机械台班数量和单价、使用材料和金额等向监理和发包人提出书面签证，发包人签证后施工。</w:t>
      </w:r>
    </w:p>
    <w:p w14:paraId="17AF13C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12.3.3 单价合同的计量</w:t>
      </w:r>
    </w:p>
    <w:p w14:paraId="3296DD3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关于单价合同计量的约定：</w:t>
      </w:r>
      <w:r>
        <w:rPr>
          <w:rFonts w:hint="eastAsia" w:ascii="仿宋" w:hAnsi="仿宋" w:eastAsia="仿宋" w:cs="仿宋"/>
          <w:sz w:val="22"/>
          <w:u w:val="single"/>
        </w:rPr>
        <w:t>按通用条款执行</w:t>
      </w:r>
      <w:r>
        <w:rPr>
          <w:rFonts w:hint="eastAsia" w:ascii="仿宋" w:hAnsi="仿宋" w:eastAsia="仿宋" w:cs="仿宋"/>
          <w:sz w:val="22"/>
        </w:rPr>
        <w:t>。</w:t>
      </w:r>
    </w:p>
    <w:p w14:paraId="60B2311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12.3.4 总价合同的计量</w:t>
      </w:r>
    </w:p>
    <w:p w14:paraId="2F13427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关于总价合同计量的约定：</w:t>
      </w:r>
      <w:r>
        <w:rPr>
          <w:rFonts w:hint="eastAsia" w:ascii="仿宋" w:hAnsi="仿宋" w:eastAsia="仿宋" w:cs="仿宋"/>
          <w:sz w:val="22"/>
          <w:u w:val="single"/>
        </w:rPr>
        <w:t xml:space="preserve"> / </w:t>
      </w:r>
      <w:r>
        <w:rPr>
          <w:rFonts w:hint="eastAsia" w:ascii="仿宋" w:hAnsi="仿宋" w:eastAsia="仿宋" w:cs="仿宋"/>
          <w:sz w:val="22"/>
        </w:rPr>
        <w:t>。</w:t>
      </w:r>
    </w:p>
    <w:p w14:paraId="10E883C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12.3.5总价合同采用支付分解表计量支付的，是否适用第12.3.4 项〔总价合同的计量〕约定进行计量：</w:t>
      </w:r>
      <w:r>
        <w:rPr>
          <w:rFonts w:hint="eastAsia" w:ascii="仿宋" w:hAnsi="仿宋" w:eastAsia="仿宋" w:cs="仿宋"/>
          <w:sz w:val="22"/>
          <w:u w:val="single"/>
        </w:rPr>
        <w:t xml:space="preserve">    / </w:t>
      </w:r>
      <w:r>
        <w:rPr>
          <w:rFonts w:hint="eastAsia" w:ascii="仿宋" w:hAnsi="仿宋" w:eastAsia="仿宋" w:cs="仿宋"/>
          <w:sz w:val="22"/>
        </w:rPr>
        <w:t>。</w:t>
      </w:r>
    </w:p>
    <w:p w14:paraId="4315236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12.3.6 其他价格形式合同的计量</w:t>
      </w:r>
    </w:p>
    <w:p w14:paraId="1CFB9DF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其他价格形式的计量方式和程序：</w:t>
      </w:r>
      <w:r>
        <w:rPr>
          <w:rFonts w:hint="eastAsia" w:ascii="仿宋" w:hAnsi="仿宋" w:eastAsia="仿宋" w:cs="仿宋"/>
          <w:sz w:val="22"/>
          <w:u w:val="single"/>
        </w:rPr>
        <w:t xml:space="preserve">  /  </w:t>
      </w:r>
      <w:r>
        <w:rPr>
          <w:rFonts w:hint="eastAsia" w:ascii="仿宋" w:hAnsi="仿宋" w:eastAsia="仿宋" w:cs="仿宋"/>
          <w:sz w:val="22"/>
        </w:rPr>
        <w:t>。</w:t>
      </w:r>
    </w:p>
    <w:p w14:paraId="7BE75F5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12.4 工程进度款支付</w:t>
      </w:r>
    </w:p>
    <w:p w14:paraId="7640CA24">
      <w:pPr>
        <w:adjustRightInd w:val="0"/>
        <w:snapToGrid w:val="0"/>
        <w:spacing w:line="360" w:lineRule="auto"/>
        <w:ind w:firstLine="440" w:firstLineChars="200"/>
        <w:jc w:val="left"/>
        <w:rPr>
          <w:rFonts w:hint="eastAsia" w:ascii="仿宋" w:hAnsi="仿宋" w:eastAsia="仿宋" w:cs="仿宋"/>
          <w:sz w:val="22"/>
        </w:rPr>
      </w:pPr>
      <w:bookmarkStart w:id="639" w:name="_Toc297120511"/>
      <w:bookmarkStart w:id="640" w:name="_Toc296891039"/>
      <w:bookmarkStart w:id="641" w:name="_Toc296503211"/>
      <w:bookmarkStart w:id="642" w:name="_Toc296944550"/>
      <w:bookmarkStart w:id="643" w:name="_Toc297123556"/>
      <w:bookmarkStart w:id="644" w:name="_Toc297216215"/>
      <w:bookmarkStart w:id="645" w:name="_Toc303539163"/>
      <w:bookmarkStart w:id="646" w:name="_Toc296891251"/>
      <w:bookmarkStart w:id="647" w:name="_Toc297048397"/>
      <w:bookmarkStart w:id="648" w:name="_Toc292559416"/>
      <w:bookmarkStart w:id="649" w:name="_Toc292559921"/>
      <w:bookmarkStart w:id="650" w:name="_Toc296347210"/>
      <w:bookmarkStart w:id="651" w:name="_Toc296346712"/>
      <w:bookmarkStart w:id="652" w:name="_Toc300935006"/>
      <w:r>
        <w:rPr>
          <w:rFonts w:hint="eastAsia" w:ascii="仿宋" w:hAnsi="仿宋" w:eastAsia="仿宋" w:cs="仿宋"/>
          <w:sz w:val="22"/>
        </w:rPr>
        <w:t>12.4.1 付款周期</w:t>
      </w:r>
    </w:p>
    <w:p w14:paraId="6004231D">
      <w:pPr>
        <w:adjustRightInd w:val="0"/>
        <w:snapToGrid w:val="0"/>
        <w:spacing w:line="360" w:lineRule="auto"/>
        <w:ind w:firstLine="450"/>
        <w:rPr>
          <w:rFonts w:hint="eastAsia" w:ascii="仿宋" w:hAnsi="仿宋" w:eastAsia="仿宋" w:cs="仿宋"/>
          <w:sz w:val="22"/>
        </w:rPr>
      </w:pPr>
      <w:r>
        <w:rPr>
          <w:rFonts w:hint="eastAsia" w:ascii="仿宋" w:hAnsi="仿宋" w:eastAsia="仿宋" w:cs="仿宋"/>
          <w:sz w:val="22"/>
        </w:rPr>
        <w:t>关于付款周期的约定：</w:t>
      </w:r>
    </w:p>
    <w:p w14:paraId="538B838B">
      <w:pPr>
        <w:adjustRightInd w:val="0"/>
        <w:snapToGrid w:val="0"/>
        <w:spacing w:line="360" w:lineRule="auto"/>
        <w:ind w:firstLine="450"/>
        <w:rPr>
          <w:rFonts w:hint="eastAsia" w:ascii="仿宋" w:hAnsi="仿宋" w:eastAsia="仿宋" w:cs="仿宋"/>
          <w:sz w:val="22"/>
          <w:u w:val="single"/>
        </w:rPr>
      </w:pPr>
      <w:r>
        <w:rPr>
          <w:rFonts w:hint="eastAsia" w:ascii="仿宋" w:hAnsi="仿宋" w:eastAsia="仿宋" w:cs="仿宋"/>
          <w:sz w:val="22"/>
          <w:u w:val="single"/>
        </w:rPr>
        <w:t xml:space="preserve">1、合同签订并且主要机械、人员进场且具备施工条件10天内，预付合同价款的30%（不包括暂列金额）。 </w:t>
      </w:r>
    </w:p>
    <w:p w14:paraId="2A423FCB">
      <w:pPr>
        <w:adjustRightInd w:val="0"/>
        <w:snapToGrid w:val="0"/>
        <w:spacing w:line="360" w:lineRule="auto"/>
        <w:ind w:firstLine="440" w:firstLineChars="200"/>
        <w:rPr>
          <w:rFonts w:hint="eastAsia" w:ascii="仿宋" w:hAnsi="仿宋" w:eastAsia="仿宋" w:cs="仿宋"/>
          <w:sz w:val="22"/>
          <w:u w:val="single"/>
        </w:rPr>
      </w:pPr>
      <w:r>
        <w:rPr>
          <w:rFonts w:hint="eastAsia" w:ascii="仿宋" w:hAnsi="仿宋" w:eastAsia="仿宋" w:cs="仿宋"/>
          <w:sz w:val="22"/>
          <w:u w:val="single"/>
        </w:rPr>
        <w:t>2、工程量完成50%且主要装修材料已运抵施工现场，由承包人提出申请并按要求办理相关手续（经监理、发包人审核确认）后，发包人支付至合同价款（扣除暂列金含税、材料暂估价含税）的60%；</w:t>
      </w:r>
    </w:p>
    <w:p w14:paraId="4A960F7C">
      <w:pPr>
        <w:adjustRightInd w:val="0"/>
        <w:snapToGrid w:val="0"/>
        <w:spacing w:line="360" w:lineRule="auto"/>
        <w:ind w:firstLine="440" w:firstLineChars="200"/>
        <w:rPr>
          <w:rFonts w:hint="eastAsia" w:ascii="仿宋" w:hAnsi="仿宋" w:eastAsia="仿宋" w:cs="仿宋"/>
          <w:sz w:val="22"/>
          <w:u w:val="single"/>
        </w:rPr>
      </w:pPr>
      <w:r>
        <w:rPr>
          <w:rFonts w:hint="eastAsia" w:ascii="仿宋" w:hAnsi="仿宋" w:eastAsia="仿宋" w:cs="仿宋"/>
          <w:sz w:val="22"/>
          <w:u w:val="single"/>
        </w:rPr>
        <w:t>3、工程竣工验收合格后付至合同价款的90%（承包人必须提供完整的工程竣工结算资料原件，并扣除相应的违约金、暂列金额等应扣款）。</w:t>
      </w:r>
    </w:p>
    <w:p w14:paraId="2E97C2F0">
      <w:pPr>
        <w:adjustRightInd w:val="0"/>
        <w:snapToGrid w:val="0"/>
        <w:spacing w:line="360" w:lineRule="auto"/>
        <w:ind w:firstLine="440" w:firstLineChars="200"/>
        <w:rPr>
          <w:rFonts w:hint="eastAsia" w:ascii="仿宋" w:hAnsi="仿宋" w:eastAsia="仿宋" w:cs="仿宋"/>
          <w:sz w:val="22"/>
          <w:u w:val="single"/>
        </w:rPr>
      </w:pPr>
      <w:r>
        <w:rPr>
          <w:rFonts w:hint="eastAsia" w:ascii="仿宋" w:hAnsi="仿宋" w:eastAsia="仿宋" w:cs="仿宋"/>
          <w:sz w:val="22"/>
          <w:u w:val="single"/>
        </w:rPr>
        <w:t>4、工程经最终结算审计结束、竣工资料检查合格移交发包人后付至结算审定价款的97%，3 % 为工程质量保修金，在质保期满后付清（无息）。</w:t>
      </w:r>
    </w:p>
    <w:p w14:paraId="0F1E2E6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12.4.2 进度付款申请单的编制</w:t>
      </w:r>
    </w:p>
    <w:p w14:paraId="13E70E9F">
      <w:pPr>
        <w:ind w:firstLine="440" w:firstLineChars="200"/>
        <w:jc w:val="left"/>
        <w:rPr>
          <w:rFonts w:hint="eastAsia" w:ascii="仿宋" w:hAnsi="仿宋" w:eastAsia="仿宋" w:cs="仿宋"/>
          <w:sz w:val="22"/>
        </w:rPr>
      </w:pPr>
      <w:r>
        <w:rPr>
          <w:rFonts w:hint="eastAsia" w:ascii="仿宋" w:hAnsi="仿宋" w:eastAsia="仿宋" w:cs="仿宋"/>
          <w:sz w:val="22"/>
        </w:rPr>
        <w:t xml:space="preserve">关于进度付款申请单的编制的约定： </w:t>
      </w:r>
    </w:p>
    <w:p w14:paraId="22289E2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（1）截至本次付款周期已完成工作量对应的签约合同价金额；</w:t>
      </w:r>
    </w:p>
    <w:p w14:paraId="0B477D4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（2）预付款约定应支付的预付款和扣减的返还预付款；</w:t>
      </w:r>
    </w:p>
    <w:p w14:paraId="509E017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（3）应扣除的甲供材料款和根据合同约定应增加和扣减的其他金额；</w:t>
      </w:r>
    </w:p>
    <w:p w14:paraId="58AAB83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（4）索赔应增加和扣减的索赔金额；</w:t>
      </w:r>
    </w:p>
    <w:p w14:paraId="286A50E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（5）对已签发的进度款支付证书中出现错误的修正，应在本次进度付款中支付或扣除的金额；</w:t>
      </w:r>
    </w:p>
    <w:p w14:paraId="11AF755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Pr>
          <w:rFonts w:hint="eastAsia" w:ascii="仿宋" w:hAnsi="仿宋" w:eastAsia="仿宋" w:cs="仿宋"/>
          <w:sz w:val="22"/>
        </w:rPr>
        <w:t>2.4.3 进度付款申请单的提交</w:t>
      </w:r>
    </w:p>
    <w:p w14:paraId="1335F50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（1）单价合同进度付款申请单提交的约定：</w:t>
      </w:r>
      <w:r>
        <w:rPr>
          <w:rFonts w:hint="eastAsia" w:ascii="仿宋" w:hAnsi="仿宋" w:eastAsia="仿宋" w:cs="仿宋"/>
          <w:sz w:val="22"/>
          <w:u w:val="single"/>
        </w:rPr>
        <w:t>按通用条款执行</w:t>
      </w:r>
      <w:r>
        <w:rPr>
          <w:rFonts w:hint="eastAsia" w:ascii="仿宋" w:hAnsi="仿宋" w:eastAsia="仿宋" w:cs="仿宋"/>
          <w:sz w:val="22"/>
        </w:rPr>
        <w:t>。</w:t>
      </w:r>
    </w:p>
    <w:p w14:paraId="1807017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（2）总价合同进度付款申请单提交的约定：</w:t>
      </w:r>
      <w:r>
        <w:rPr>
          <w:rFonts w:hint="eastAsia" w:ascii="仿宋" w:hAnsi="仿宋" w:eastAsia="仿宋" w:cs="仿宋"/>
          <w:sz w:val="22"/>
          <w:u w:val="single"/>
        </w:rPr>
        <w:t xml:space="preserve">  不采用  </w:t>
      </w:r>
      <w:r>
        <w:rPr>
          <w:rFonts w:hint="eastAsia" w:ascii="仿宋" w:hAnsi="仿宋" w:eastAsia="仿宋" w:cs="仿宋"/>
          <w:sz w:val="22"/>
        </w:rPr>
        <w:t>。</w:t>
      </w:r>
    </w:p>
    <w:p w14:paraId="5FD0E55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（3）其他价格形式合同进度付款申请单提交的约定：</w:t>
      </w:r>
      <w:r>
        <w:rPr>
          <w:rFonts w:hint="eastAsia" w:ascii="仿宋" w:hAnsi="仿宋" w:eastAsia="仿宋" w:cs="仿宋"/>
          <w:sz w:val="22"/>
          <w:u w:val="single"/>
        </w:rPr>
        <w:t xml:space="preserve">  不采用  </w:t>
      </w:r>
      <w:r>
        <w:rPr>
          <w:rFonts w:hint="eastAsia" w:ascii="仿宋" w:hAnsi="仿宋" w:eastAsia="仿宋" w:cs="仿宋"/>
          <w:sz w:val="22"/>
        </w:rPr>
        <w:t>。</w:t>
      </w:r>
    </w:p>
    <w:p w14:paraId="6BFBE92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12.4.4 进度款审核和支付</w:t>
      </w:r>
    </w:p>
    <w:p w14:paraId="3A2CDBE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（1）监理人审查并报送发包人的期限：</w:t>
      </w:r>
      <w:r>
        <w:rPr>
          <w:rFonts w:hint="eastAsia" w:ascii="仿宋" w:hAnsi="仿宋" w:eastAsia="仿宋" w:cs="仿宋"/>
          <w:sz w:val="22"/>
          <w:u w:val="single"/>
        </w:rPr>
        <w:t>按通用条款执行</w:t>
      </w:r>
      <w:r>
        <w:rPr>
          <w:rFonts w:hint="eastAsia" w:ascii="仿宋" w:hAnsi="仿宋" w:eastAsia="仿宋" w:cs="仿宋"/>
          <w:sz w:val="22"/>
        </w:rPr>
        <w:t>。</w:t>
      </w:r>
    </w:p>
    <w:p w14:paraId="65FE140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发包人完成审批并签发进度款支付证书的期限：</w:t>
      </w:r>
      <w:r>
        <w:rPr>
          <w:rFonts w:hint="eastAsia" w:ascii="仿宋" w:hAnsi="仿宋" w:eastAsia="仿宋" w:cs="仿宋"/>
          <w:sz w:val="22"/>
          <w:u w:val="single"/>
        </w:rPr>
        <w:t>按发包人单位财务支付规定</w:t>
      </w:r>
      <w:r>
        <w:rPr>
          <w:rFonts w:hint="eastAsia" w:ascii="仿宋" w:hAnsi="仿宋" w:eastAsia="仿宋" w:cs="仿宋"/>
          <w:sz w:val="22"/>
        </w:rPr>
        <w:t>。</w:t>
      </w:r>
    </w:p>
    <w:p w14:paraId="5F54015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（2）发包人支付进度款的期限：</w:t>
      </w:r>
      <w:r>
        <w:rPr>
          <w:rFonts w:hint="eastAsia" w:ascii="仿宋" w:hAnsi="仿宋" w:eastAsia="仿宋" w:cs="仿宋"/>
          <w:sz w:val="22"/>
          <w:u w:val="single"/>
        </w:rPr>
        <w:t>按发包人单位财务支付规定</w:t>
      </w:r>
      <w:r>
        <w:rPr>
          <w:rFonts w:hint="eastAsia" w:ascii="仿宋" w:hAnsi="仿宋" w:eastAsia="仿宋" w:cs="仿宋"/>
          <w:sz w:val="22"/>
        </w:rPr>
        <w:t>。</w:t>
      </w:r>
    </w:p>
    <w:p w14:paraId="34C4B03D">
      <w:pPr>
        <w:adjustRightInd w:val="0"/>
        <w:snapToGrid w:val="0"/>
        <w:spacing w:line="360" w:lineRule="auto"/>
        <w:ind w:firstLine="550" w:firstLineChars="250"/>
        <w:jc w:val="left"/>
        <w:rPr>
          <w:rFonts w:hint="eastAsia" w:ascii="仿宋" w:hAnsi="仿宋" w:eastAsia="仿宋" w:cs="仿宋"/>
          <w:sz w:val="22"/>
        </w:rPr>
      </w:pPr>
      <w:r>
        <w:rPr>
          <w:rFonts w:hint="eastAsia" w:ascii="仿宋" w:hAnsi="仿宋" w:eastAsia="仿宋" w:cs="仿宋"/>
          <w:sz w:val="22"/>
        </w:rPr>
        <w:t>发包人逾期支付进度款的违约金的计算方式：</w:t>
      </w:r>
      <w:r>
        <w:rPr>
          <w:rFonts w:hint="eastAsia" w:ascii="仿宋" w:hAnsi="仿宋" w:eastAsia="仿宋" w:cs="仿宋"/>
          <w:sz w:val="22"/>
          <w:u w:val="single"/>
        </w:rPr>
        <w:t xml:space="preserve"> 按照中国人民银行同期同类贷款基准利率计算。</w:t>
      </w:r>
    </w:p>
    <w:p w14:paraId="78A9E621">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12.4.6 支付分解表的编制</w:t>
      </w:r>
    </w:p>
    <w:p w14:paraId="28EE7541">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2、总价合同支付分解表的编制与审批：</w:t>
      </w:r>
      <w:r>
        <w:rPr>
          <w:rFonts w:hint="eastAsia" w:ascii="仿宋" w:hAnsi="仿宋" w:eastAsia="仿宋" w:cs="仿宋"/>
          <w:sz w:val="22"/>
          <w:u w:val="single"/>
        </w:rPr>
        <w:t xml:space="preserve">  不采用  </w:t>
      </w:r>
      <w:r>
        <w:rPr>
          <w:rFonts w:hint="eastAsia" w:ascii="仿宋" w:hAnsi="仿宋" w:eastAsia="仿宋" w:cs="仿宋"/>
          <w:sz w:val="22"/>
        </w:rPr>
        <w:t>。</w:t>
      </w:r>
    </w:p>
    <w:p w14:paraId="5F14FC6D">
      <w:pPr>
        <w:numPr>
          <w:ilvl w:val="0"/>
          <w:numId w:val="6"/>
        </w:num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单价合同的总价项目支付分解表的编制与审批：</w:t>
      </w:r>
      <w:r>
        <w:rPr>
          <w:rFonts w:hint="eastAsia" w:ascii="仿宋" w:hAnsi="仿宋" w:eastAsia="仿宋" w:cs="仿宋"/>
          <w:sz w:val="22"/>
          <w:u w:val="single"/>
        </w:rPr>
        <w:t xml:space="preserve"> 由承包人根据施工进度计划和总价项目的总价构成、费用性质、计划发生时间和相应工程量等因素按月进行分解，形成支付分解表，并汇总列入工程款各周期付款申请单。</w:t>
      </w:r>
    </w:p>
    <w:bookmarkEnd w:id="482"/>
    <w:p w14:paraId="4324DC2E">
      <w:pPr>
        <w:pStyle w:val="5"/>
        <w:keepNext w:val="0"/>
        <w:adjustRightInd w:val="0"/>
        <w:snapToGrid w:val="0"/>
        <w:spacing w:line="360" w:lineRule="auto"/>
        <w:jc w:val="left"/>
        <w:rPr>
          <w:rFonts w:hint="eastAsia" w:ascii="仿宋" w:hAnsi="仿宋" w:eastAsia="仿宋" w:cs="仿宋"/>
          <w:b/>
          <w:color w:val="auto"/>
          <w:sz w:val="22"/>
          <w:szCs w:val="24"/>
        </w:rPr>
      </w:pPr>
      <w:bookmarkStart w:id="653" w:name="_Toc351203645"/>
      <w:bookmarkStart w:id="654" w:name="_Toc296944558"/>
      <w:bookmarkStart w:id="655" w:name="_Toc300935015"/>
      <w:bookmarkStart w:id="656" w:name="_Toc312678053"/>
      <w:bookmarkStart w:id="657" w:name="_Toc303539172"/>
      <w:bookmarkStart w:id="658" w:name="_Toc296503219"/>
      <w:bookmarkStart w:id="659" w:name="_Toc296346720"/>
      <w:bookmarkStart w:id="660" w:name="_Toc296891047"/>
      <w:bookmarkStart w:id="661" w:name="_Toc297048405"/>
      <w:bookmarkStart w:id="662" w:name="_Toc297120519"/>
      <w:bookmarkStart w:id="663" w:name="_Toc292559424"/>
      <w:bookmarkStart w:id="664" w:name="_Toc304295593"/>
      <w:bookmarkStart w:id="665" w:name="_Toc297123564"/>
      <w:bookmarkStart w:id="666" w:name="_Toc292559929"/>
      <w:bookmarkStart w:id="667" w:name="_Toc297216223"/>
      <w:bookmarkStart w:id="668" w:name="_Toc296347218"/>
      <w:bookmarkStart w:id="669" w:name="_Toc296891259"/>
      <w:r>
        <w:rPr>
          <w:rFonts w:hint="eastAsia" w:ascii="仿宋" w:hAnsi="仿宋" w:eastAsia="仿宋" w:cs="仿宋"/>
          <w:b/>
          <w:color w:val="auto"/>
          <w:sz w:val="22"/>
          <w:szCs w:val="24"/>
        </w:rPr>
        <w:t>13. 验收和工程试车</w:t>
      </w:r>
      <w:bookmarkEnd w:id="653"/>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781FB0D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13.1 分部分项工程验收</w:t>
      </w:r>
    </w:p>
    <w:p w14:paraId="72D02A0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13.1.2监理人不能按时进行验收时，应提前</w:t>
      </w:r>
      <w:r>
        <w:rPr>
          <w:rFonts w:hint="eastAsia" w:ascii="仿宋" w:hAnsi="仿宋" w:eastAsia="仿宋" w:cs="仿宋"/>
          <w:sz w:val="22"/>
          <w:u w:val="single"/>
        </w:rPr>
        <w:t xml:space="preserve"> 24 </w:t>
      </w:r>
      <w:r>
        <w:rPr>
          <w:rFonts w:hint="eastAsia" w:ascii="仿宋" w:hAnsi="仿宋" w:eastAsia="仿宋" w:cs="仿宋"/>
          <w:sz w:val="22"/>
        </w:rPr>
        <w:t>小时提交书面延期要求。</w:t>
      </w:r>
    </w:p>
    <w:p w14:paraId="36E94D8C">
      <w:pPr>
        <w:adjustRightInd w:val="0"/>
        <w:snapToGrid w:val="0"/>
        <w:spacing w:line="360" w:lineRule="auto"/>
        <w:ind w:firstLine="440" w:firstLineChars="200"/>
        <w:jc w:val="left"/>
        <w:rPr>
          <w:rFonts w:hint="eastAsia" w:ascii="仿宋" w:hAnsi="仿宋" w:eastAsia="仿宋" w:cs="仿宋"/>
          <w:b/>
          <w:sz w:val="22"/>
        </w:rPr>
      </w:pPr>
      <w:r>
        <w:rPr>
          <w:rFonts w:hint="eastAsia" w:ascii="仿宋" w:hAnsi="仿宋" w:eastAsia="仿宋" w:cs="仿宋"/>
          <w:sz w:val="22"/>
        </w:rPr>
        <w:t>关于延期最长不得超过：</w:t>
      </w:r>
      <w:r>
        <w:rPr>
          <w:rFonts w:hint="eastAsia" w:ascii="仿宋" w:hAnsi="仿宋" w:eastAsia="仿宋" w:cs="仿宋"/>
          <w:sz w:val="22"/>
          <w:u w:val="single"/>
        </w:rPr>
        <w:t xml:space="preserve"> 48 </w:t>
      </w:r>
      <w:r>
        <w:rPr>
          <w:rFonts w:hint="eastAsia" w:ascii="仿宋" w:hAnsi="仿宋" w:eastAsia="仿宋" w:cs="仿宋"/>
          <w:sz w:val="22"/>
        </w:rPr>
        <w:t>小时。</w:t>
      </w:r>
    </w:p>
    <w:p w14:paraId="2F50C934">
      <w:pPr>
        <w:adjustRightInd w:val="0"/>
        <w:snapToGrid w:val="0"/>
        <w:spacing w:line="360" w:lineRule="auto"/>
        <w:ind w:firstLine="440" w:firstLineChars="200"/>
        <w:jc w:val="left"/>
        <w:rPr>
          <w:rFonts w:hint="eastAsia" w:ascii="仿宋" w:hAnsi="仿宋" w:eastAsia="仿宋" w:cs="仿宋"/>
          <w:sz w:val="22"/>
        </w:rPr>
      </w:pPr>
      <w:bookmarkStart w:id="670" w:name="_Toc297123565"/>
      <w:bookmarkStart w:id="671" w:name="_Toc297048409"/>
      <w:bookmarkStart w:id="672" w:name="_Toc297216224"/>
      <w:bookmarkStart w:id="673" w:name="_Toc312678056"/>
      <w:bookmarkStart w:id="674" w:name="_Toc300935016"/>
      <w:bookmarkStart w:id="675" w:name="_Toc292559428"/>
      <w:bookmarkStart w:id="676" w:name="_Toc292559933"/>
      <w:bookmarkStart w:id="677" w:name="_Toc296346724"/>
      <w:bookmarkStart w:id="678" w:name="_Toc296891263"/>
      <w:bookmarkStart w:id="679" w:name="_Toc304295596"/>
      <w:bookmarkStart w:id="680" w:name="_Toc296347222"/>
      <w:bookmarkStart w:id="681" w:name="_Toc296503223"/>
      <w:bookmarkStart w:id="682" w:name="_Toc296891051"/>
      <w:bookmarkStart w:id="683" w:name="_Toc297120523"/>
      <w:bookmarkStart w:id="684" w:name="_Toc296944562"/>
      <w:bookmarkStart w:id="685" w:name="_Toc303539173"/>
      <w:bookmarkStart w:id="686" w:name="_Toc267251475"/>
      <w:bookmarkStart w:id="687" w:name="_Toc267251470"/>
      <w:bookmarkStart w:id="688" w:name="_Toc267251472"/>
      <w:bookmarkStart w:id="689" w:name="_Toc267251473"/>
      <w:bookmarkStart w:id="690" w:name="_Toc267251474"/>
      <w:bookmarkStart w:id="691" w:name="_Toc267251471"/>
      <w:bookmarkStart w:id="692" w:name="_Toc267251476"/>
      <w:r>
        <w:rPr>
          <w:rFonts w:hint="eastAsia" w:ascii="仿宋" w:hAnsi="仿宋" w:eastAsia="仿宋" w:cs="仿宋"/>
          <w:sz w:val="22"/>
        </w:rPr>
        <w:t>13.2 竣工验收</w:t>
      </w:r>
    </w:p>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14:paraId="4943A575">
      <w:pPr>
        <w:adjustRightInd w:val="0"/>
        <w:snapToGrid w:val="0"/>
        <w:spacing w:line="360" w:lineRule="auto"/>
        <w:ind w:firstLine="440" w:firstLineChars="200"/>
        <w:jc w:val="left"/>
        <w:rPr>
          <w:rFonts w:hint="eastAsia" w:ascii="仿宋" w:hAnsi="仿宋" w:eastAsia="仿宋" w:cs="仿宋"/>
          <w:sz w:val="22"/>
        </w:rPr>
      </w:pPr>
      <w:bookmarkStart w:id="693" w:name="_Toc280868704"/>
      <w:bookmarkStart w:id="694" w:name="_Toc280868705"/>
      <w:bookmarkStart w:id="695" w:name="_Toc280868706"/>
      <w:bookmarkStart w:id="696" w:name="_Toc280868707"/>
      <w:bookmarkStart w:id="697" w:name="_Toc280868708"/>
      <w:bookmarkStart w:id="698" w:name="_Toc280868709"/>
      <w:r>
        <w:rPr>
          <w:rFonts w:hint="eastAsia" w:ascii="仿宋" w:hAnsi="仿宋" w:eastAsia="仿宋" w:cs="仿宋"/>
          <w:sz w:val="22"/>
        </w:rPr>
        <w:t>13.2.2竣工验收程序</w:t>
      </w:r>
    </w:p>
    <w:bookmarkEnd w:id="693"/>
    <w:p w14:paraId="432F63F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关于竣工验收程序的约定：</w:t>
      </w:r>
      <w:r>
        <w:rPr>
          <w:rFonts w:hint="eastAsia" w:ascii="仿宋" w:hAnsi="仿宋" w:eastAsia="仿宋" w:cs="仿宋"/>
          <w:sz w:val="22"/>
          <w:u w:val="single"/>
        </w:rPr>
        <w:t xml:space="preserve"> 按通用条款执行 </w:t>
      </w:r>
      <w:r>
        <w:rPr>
          <w:rFonts w:hint="eastAsia" w:ascii="仿宋" w:hAnsi="仿宋" w:eastAsia="仿宋" w:cs="仿宋"/>
          <w:sz w:val="22"/>
        </w:rPr>
        <w:t>。</w:t>
      </w:r>
    </w:p>
    <w:p w14:paraId="0C1B4BE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发包人不按照本项约定组织竣工验收、颁发工程接收证书的违约金的计算方法：</w:t>
      </w:r>
      <w:r>
        <w:rPr>
          <w:rFonts w:hint="eastAsia" w:ascii="仿宋" w:hAnsi="仿宋" w:eastAsia="仿宋" w:cs="仿宋"/>
          <w:sz w:val="22"/>
          <w:u w:val="single"/>
        </w:rPr>
        <w:t>通用条款13.2.2。</w:t>
      </w:r>
    </w:p>
    <w:bookmarkEnd w:id="694"/>
    <w:p w14:paraId="0E3CC8B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13.2.5移交、接收全部与部分工程</w:t>
      </w:r>
    </w:p>
    <w:bookmarkEnd w:id="695"/>
    <w:p w14:paraId="4CEC295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承包人向发包人移交工程的期限：</w:t>
      </w:r>
      <w:r>
        <w:rPr>
          <w:rFonts w:hint="eastAsia" w:ascii="仿宋" w:hAnsi="仿宋" w:eastAsia="仿宋" w:cs="仿宋"/>
          <w:sz w:val="22"/>
          <w:u w:val="single"/>
        </w:rPr>
        <w:t xml:space="preserve"> 承包人应在竣工验收合格之日起20天内具备移交条件，并随时办理移交；代建、委建、共建以及保障房、安置房等工程以交付至实际业主为移交完毕</w:t>
      </w:r>
      <w:r>
        <w:rPr>
          <w:rFonts w:hint="eastAsia" w:ascii="仿宋" w:hAnsi="仿宋" w:eastAsia="仿宋" w:cs="仿宋"/>
          <w:sz w:val="22"/>
        </w:rPr>
        <w:t>。</w:t>
      </w:r>
    </w:p>
    <w:p w14:paraId="1AFA857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发包人未按本合同约定接收全部或部分工程的，违约金的计算方法为：</w:t>
      </w:r>
      <w:r>
        <w:rPr>
          <w:rFonts w:hint="eastAsia" w:ascii="仿宋" w:hAnsi="仿宋" w:eastAsia="仿宋" w:cs="仿宋"/>
          <w:sz w:val="22"/>
          <w:u w:val="single"/>
        </w:rPr>
        <w:t xml:space="preserve">发包人按承包人因此产生的实际费用适当分担 </w:t>
      </w:r>
      <w:r>
        <w:rPr>
          <w:rFonts w:hint="eastAsia" w:ascii="仿宋" w:hAnsi="仿宋" w:eastAsia="仿宋" w:cs="仿宋"/>
          <w:sz w:val="22"/>
        </w:rPr>
        <w:t>。</w:t>
      </w:r>
    </w:p>
    <w:bookmarkEnd w:id="696"/>
    <w:p w14:paraId="17DEC2B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承包人未按时移交工程的，违约金的计算方法为：</w:t>
      </w:r>
      <w:r>
        <w:rPr>
          <w:rFonts w:hint="eastAsia" w:ascii="仿宋" w:hAnsi="仿宋" w:eastAsia="仿宋" w:cs="仿宋"/>
          <w:sz w:val="22"/>
          <w:u w:val="single"/>
        </w:rPr>
        <w:t xml:space="preserve"> 发包人保留强行清退场的权利，造成的费用和损失由承包人承担。否则，发包人将按承包人占用的建筑面积范围收取100元/平方米·天的占用费。</w:t>
      </w:r>
    </w:p>
    <w:p w14:paraId="57E04E2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13.3 工程试车</w:t>
      </w:r>
    </w:p>
    <w:bookmarkEnd w:id="697"/>
    <w:p w14:paraId="5322208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13.3.1 试车程序</w:t>
      </w:r>
    </w:p>
    <w:p w14:paraId="5F47B5E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工程试车内容：</w:t>
      </w:r>
      <w:r>
        <w:rPr>
          <w:rFonts w:hint="eastAsia" w:ascii="仿宋" w:hAnsi="仿宋" w:eastAsia="仿宋" w:cs="仿宋"/>
          <w:sz w:val="22"/>
          <w:u w:val="single"/>
        </w:rPr>
        <w:t xml:space="preserve">  不采用  </w:t>
      </w:r>
      <w:r>
        <w:rPr>
          <w:rFonts w:hint="eastAsia" w:ascii="仿宋" w:hAnsi="仿宋" w:eastAsia="仿宋" w:cs="仿宋"/>
          <w:sz w:val="22"/>
        </w:rPr>
        <w:t>。</w:t>
      </w:r>
    </w:p>
    <w:p w14:paraId="5D19982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（1）单机无负荷试车费用由</w:t>
      </w:r>
      <w:r>
        <w:rPr>
          <w:rFonts w:hint="eastAsia" w:ascii="仿宋" w:hAnsi="仿宋" w:eastAsia="仿宋" w:cs="仿宋"/>
          <w:sz w:val="22"/>
          <w:u w:val="single"/>
        </w:rPr>
        <w:t xml:space="preserve">        无       </w:t>
      </w:r>
      <w:r>
        <w:rPr>
          <w:rFonts w:hint="eastAsia" w:ascii="仿宋" w:hAnsi="仿宋" w:eastAsia="仿宋" w:cs="仿宋"/>
          <w:sz w:val="22"/>
        </w:rPr>
        <w:t>承担；</w:t>
      </w:r>
    </w:p>
    <w:p w14:paraId="39F0314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（2）无负荷联动试车费用由</w:t>
      </w:r>
      <w:r>
        <w:rPr>
          <w:rFonts w:hint="eastAsia" w:ascii="仿宋" w:hAnsi="仿宋" w:eastAsia="仿宋" w:cs="仿宋"/>
          <w:sz w:val="22"/>
          <w:u w:val="single"/>
        </w:rPr>
        <w:t xml:space="preserve">        无       </w:t>
      </w:r>
      <w:r>
        <w:rPr>
          <w:rFonts w:hint="eastAsia" w:ascii="仿宋" w:hAnsi="仿宋" w:eastAsia="仿宋" w:cs="仿宋"/>
          <w:sz w:val="22"/>
        </w:rPr>
        <w:t>承担。</w:t>
      </w:r>
    </w:p>
    <w:p w14:paraId="4E9FEB8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13.3.3 投料试车</w:t>
      </w:r>
    </w:p>
    <w:p w14:paraId="681A84D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关于投料试车相关事项的约定：</w:t>
      </w:r>
      <w:r>
        <w:rPr>
          <w:rFonts w:hint="eastAsia" w:ascii="仿宋" w:hAnsi="仿宋" w:eastAsia="仿宋" w:cs="仿宋"/>
          <w:sz w:val="22"/>
          <w:u w:val="single"/>
        </w:rPr>
        <w:t xml:space="preserve">  不采用   </w:t>
      </w:r>
      <w:r>
        <w:rPr>
          <w:rFonts w:hint="eastAsia" w:ascii="仿宋" w:hAnsi="仿宋" w:eastAsia="仿宋" w:cs="仿宋"/>
          <w:sz w:val="22"/>
        </w:rPr>
        <w:t>。</w:t>
      </w:r>
    </w:p>
    <w:p w14:paraId="5C67D35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13.6 竣工退场</w:t>
      </w:r>
    </w:p>
    <w:p w14:paraId="1622E41B">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13.6.1 竣工退场</w:t>
      </w:r>
    </w:p>
    <w:p w14:paraId="5395A830">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 xml:space="preserve">承包人完成竣工退场的期限： </w:t>
      </w:r>
      <w:r>
        <w:rPr>
          <w:rFonts w:hint="eastAsia" w:ascii="仿宋" w:hAnsi="仿宋" w:eastAsia="仿宋" w:cs="仿宋"/>
          <w:sz w:val="22"/>
          <w:u w:val="single"/>
        </w:rPr>
        <w:t>自验收合格之日起7天内撤出全部临建、施工人员、施工机械和剩余材料，并将施工现场及临时占地范围内的所有场地清理干净，承包人每延迟一天退场，须承担5000元违约金；超过15天未退场的发包人有权强制退场，承包人必须承担由此而给发包人造成所有损失的赔偿责任。</w:t>
      </w:r>
    </w:p>
    <w:p w14:paraId="2F62251C">
      <w:pPr>
        <w:pStyle w:val="5"/>
        <w:keepNext w:val="0"/>
        <w:adjustRightInd w:val="0"/>
        <w:snapToGrid w:val="0"/>
        <w:spacing w:line="360" w:lineRule="auto"/>
        <w:jc w:val="left"/>
        <w:rPr>
          <w:rFonts w:hint="eastAsia" w:ascii="仿宋" w:hAnsi="仿宋" w:eastAsia="仿宋" w:cs="仿宋"/>
          <w:b/>
          <w:color w:val="auto"/>
          <w:sz w:val="22"/>
          <w:szCs w:val="24"/>
        </w:rPr>
      </w:pPr>
      <w:bookmarkStart w:id="699" w:name="_Toc351203646"/>
      <w:r>
        <w:rPr>
          <w:rFonts w:hint="eastAsia" w:ascii="仿宋" w:hAnsi="仿宋" w:eastAsia="仿宋" w:cs="仿宋"/>
          <w:b/>
          <w:color w:val="auto"/>
          <w:sz w:val="22"/>
          <w:szCs w:val="24"/>
        </w:rPr>
        <w:t>14. 竣工结算</w:t>
      </w:r>
      <w:bookmarkEnd w:id="699"/>
    </w:p>
    <w:p w14:paraId="63367DA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14.1 竣工付款申请</w:t>
      </w:r>
    </w:p>
    <w:p w14:paraId="3C808C99">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承包人提交竣工付款申请单的期限：</w:t>
      </w:r>
      <w:r>
        <w:rPr>
          <w:rFonts w:hint="eastAsia" w:ascii="仿宋" w:hAnsi="仿宋" w:eastAsia="仿宋" w:cs="仿宋"/>
          <w:sz w:val="22"/>
          <w:u w:val="single"/>
        </w:rPr>
        <w:t>承包人应在工程竣工验收合格后28天内向发包人和监理人提交竣工结算申请单，按照要求提交所有竣工资料，并提交完整的结算资料。</w:t>
      </w:r>
    </w:p>
    <w:p w14:paraId="2A9EA43F">
      <w:pPr>
        <w:adjustRightInd w:val="0"/>
        <w:snapToGrid w:val="0"/>
        <w:spacing w:line="360" w:lineRule="auto"/>
        <w:jc w:val="left"/>
        <w:rPr>
          <w:rFonts w:hint="eastAsia" w:ascii="仿宋" w:hAnsi="仿宋" w:eastAsia="仿宋" w:cs="仿宋"/>
          <w:sz w:val="22"/>
          <w:u w:val="single"/>
        </w:rPr>
      </w:pPr>
      <w:r>
        <w:rPr>
          <w:rFonts w:hint="eastAsia" w:ascii="仿宋" w:hAnsi="仿宋" w:eastAsia="仿宋" w:cs="仿宋"/>
          <w:sz w:val="22"/>
        </w:rPr>
        <w:t>竣工付款申请单应包括的内容：</w:t>
      </w:r>
      <w:r>
        <w:rPr>
          <w:rFonts w:hint="eastAsia" w:ascii="仿宋" w:hAnsi="仿宋" w:eastAsia="仿宋" w:cs="仿宋"/>
          <w:sz w:val="22"/>
          <w:u w:val="single"/>
        </w:rPr>
        <w:t>竣工结算审定总价、已支付的工程价款、应扣回的质量保证金、应支付的竣工付款金额等。如有其它需要，另行协商。</w:t>
      </w:r>
    </w:p>
    <w:p w14:paraId="230FD67C">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竣工结算资料包括但不限于：（1）施工合同、补充协议及承包人相关承诺（如有）；（2）中标通知书；（3）招标文件、招标答疑、投标文件；（4）竣工图纸、图纸会审记录、工程签证、技术核定单、设计变更等；（5）开工、竣工报告；（6）工程影像资料；（7）施工水电费用等；（8）各种有关工程质量、安全、工期等奖罚及相关资料；（9）竣工结算资料（含结算书、工程量计算书、钢筋翻样单）。</w:t>
      </w:r>
    </w:p>
    <w:p w14:paraId="31A4257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14.2 竣工结算审核</w:t>
      </w:r>
    </w:p>
    <w:p w14:paraId="013E3EF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合同工程完工后，承包人应在竣工验收合格之日起28天内向发包人提交全部完整的竣工结算资料。发包人应在收到承包人提交的全部完整的竣工结算资料后的28天（大中型工程56天）内复核（或委托审计）。发包人经复核，认为承包入应进一步补充资料和修改结算，应在上述时限内向承包人提出复核意见，承包人在收到复核意见后28天内应按照发包人提出的合理要求补充资料，修改竣工结算，并再次提交给发包人审核。</w:t>
      </w:r>
    </w:p>
    <w:p w14:paraId="4C016EE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发包人应在收到承包人再次提交的竣工结算文件后的28天内予以审核，将审核结果通知承包人，并遵守下列规定：</w:t>
      </w:r>
    </w:p>
    <w:p w14:paraId="6E096FF5">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 发包人、承包人对审核结果无异议的，应在7天内在竣工结算文件上签字确认；</w:t>
      </w:r>
    </w:p>
    <w:p w14:paraId="7B190AF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2) 发包人或承包人对审核结果有异议的，由发承包双方协商解决；协商不成的，按照合同约定的争议解决方式处理；</w:t>
      </w:r>
    </w:p>
    <w:p w14:paraId="0AC623B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如承包人对审核结果不能提出具体、详细的不书面同意见，却拒不在竣工结算文件上签名确认的，发包人要求办理竣工验收备案的，承包人不得拒绝提供竣工验收资料，否则，由此造成的损失，承包人承担相应责任；</w:t>
      </w:r>
    </w:p>
    <w:p w14:paraId="6E54B45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4）双方签署的竣工结算文件必须经审计机关或审计机关认可的方式审计，最终竣工结算价以审定价为准。</w:t>
      </w:r>
    </w:p>
    <w:p w14:paraId="4297426D">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发包人审批竣工付款申请单的期限：</w:t>
      </w:r>
      <w:r>
        <w:rPr>
          <w:rFonts w:hint="eastAsia" w:ascii="仿宋" w:hAnsi="仿宋" w:eastAsia="仿宋" w:cs="仿宋"/>
          <w:sz w:val="22"/>
          <w:u w:val="single"/>
        </w:rPr>
        <w:t>发包人、承包人对竣工结算审计结果无异议的，发包人应在双方签认后14天内，向承包人出具竣工付款证书。</w:t>
      </w:r>
    </w:p>
    <w:p w14:paraId="3FDC1AC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发包人完成竣工付款的期限：</w:t>
      </w:r>
      <w:r>
        <w:rPr>
          <w:rFonts w:hint="eastAsia" w:ascii="仿宋" w:hAnsi="仿宋" w:eastAsia="仿宋" w:cs="仿宋"/>
          <w:sz w:val="22"/>
          <w:u w:val="single"/>
        </w:rPr>
        <w:t>竣工备案办理完毕后，竣工结算经审计机关或审计机关认可的方式审计结束，付至工程结算审定价款（扣除全部甲供材料款和应扣的相关费用后）的97%；余款在保修期满后30天内付清（保修金不计利息，并扣除代维费用）。</w:t>
      </w:r>
    </w:p>
    <w:p w14:paraId="79FB18B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关于竣工付款证书异议部分复核的方式和程序：</w:t>
      </w:r>
      <w:r>
        <w:rPr>
          <w:rFonts w:hint="eastAsia" w:ascii="仿宋" w:hAnsi="仿宋" w:eastAsia="仿宋" w:cs="仿宋"/>
          <w:sz w:val="22"/>
          <w:u w:val="single"/>
        </w:rPr>
        <w:t xml:space="preserve"> 对于有异议部分应在收到发包人签认的竣工付款证书后7天内提出异议，并共同委托给第三方或建设工程造价管理部门鉴证，或按照第20条（争议解决）约定处理。</w:t>
      </w:r>
    </w:p>
    <w:p w14:paraId="30EFB33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14.4 最终结清</w:t>
      </w:r>
    </w:p>
    <w:p w14:paraId="76BC231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14.4.1 最终结清申请单</w:t>
      </w:r>
    </w:p>
    <w:p w14:paraId="2A9C2EA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承包人提交最终结清申请单的份数：</w:t>
      </w:r>
      <w:r>
        <w:rPr>
          <w:rFonts w:hint="eastAsia" w:ascii="仿宋" w:hAnsi="仿宋" w:eastAsia="仿宋" w:cs="仿宋"/>
          <w:sz w:val="22"/>
          <w:u w:val="single"/>
        </w:rPr>
        <w:t xml:space="preserve"> 按发包人要求 </w:t>
      </w:r>
      <w:r>
        <w:rPr>
          <w:rFonts w:hint="eastAsia" w:ascii="仿宋" w:hAnsi="仿宋" w:eastAsia="仿宋" w:cs="仿宋"/>
          <w:sz w:val="22"/>
        </w:rPr>
        <w:t>。</w:t>
      </w:r>
    </w:p>
    <w:p w14:paraId="44B7C1E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承包人提交最终结算申请单的期限：</w:t>
      </w:r>
      <w:r>
        <w:rPr>
          <w:rFonts w:hint="eastAsia" w:ascii="仿宋" w:hAnsi="仿宋" w:eastAsia="仿宋" w:cs="仿宋"/>
          <w:sz w:val="22"/>
          <w:u w:val="single"/>
        </w:rPr>
        <w:t xml:space="preserve"> 按发包人要求 </w:t>
      </w:r>
      <w:r>
        <w:rPr>
          <w:rFonts w:hint="eastAsia" w:ascii="仿宋" w:hAnsi="仿宋" w:eastAsia="仿宋" w:cs="仿宋"/>
          <w:sz w:val="22"/>
        </w:rPr>
        <w:t xml:space="preserve">。 </w:t>
      </w:r>
    </w:p>
    <w:p w14:paraId="5897461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14.4.2 最终结清证书和支付</w:t>
      </w:r>
    </w:p>
    <w:p w14:paraId="3E69960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（1）发包人完成最终结清申请单的审批并颁发最终结清证书的期限：</w:t>
      </w:r>
      <w:r>
        <w:rPr>
          <w:rFonts w:hint="eastAsia" w:ascii="仿宋" w:hAnsi="仿宋" w:eastAsia="仿宋" w:cs="仿宋"/>
          <w:sz w:val="22"/>
          <w:u w:val="single"/>
        </w:rPr>
        <w:t>承包人应在缺陷责任期终止证书颁发后7天内，按专用合同条款约定的份数向发包人提交最终结清申请单，并提供相关证明材料。发包人应在收到承包人提交的最终结清申请单后14天内完成审批并向承包人颁发最终结清证书。发包人逾期未完成审批，又未提出修改意见的，视为发包人书面同意承包人提交的最终结清申请单，且自发包人收到承包人提交的最终结清申请单后15天起视为已颁发最终结清证书</w:t>
      </w:r>
      <w:r>
        <w:rPr>
          <w:rFonts w:hint="eastAsia" w:ascii="仿宋" w:hAnsi="仿宋" w:eastAsia="仿宋" w:cs="仿宋"/>
          <w:sz w:val="22"/>
        </w:rPr>
        <w:t>。</w:t>
      </w:r>
    </w:p>
    <w:p w14:paraId="73ADA66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（2）发包人完成支付的期限：</w:t>
      </w:r>
      <w:r>
        <w:rPr>
          <w:rFonts w:hint="eastAsia" w:ascii="仿宋" w:hAnsi="仿宋" w:eastAsia="仿宋" w:cs="仿宋"/>
          <w:sz w:val="22"/>
          <w:u w:val="single"/>
        </w:rPr>
        <w:t>结清支付（保修金不计利息，并扣除代维费用）具体按发包人单位财务支付规定 。</w:t>
      </w:r>
    </w:p>
    <w:bookmarkEnd w:id="686"/>
    <w:bookmarkEnd w:id="687"/>
    <w:bookmarkEnd w:id="688"/>
    <w:bookmarkEnd w:id="689"/>
    <w:bookmarkEnd w:id="690"/>
    <w:bookmarkEnd w:id="691"/>
    <w:bookmarkEnd w:id="692"/>
    <w:bookmarkEnd w:id="698"/>
    <w:p w14:paraId="67D54356">
      <w:pPr>
        <w:pStyle w:val="5"/>
        <w:keepNext w:val="0"/>
        <w:adjustRightInd w:val="0"/>
        <w:snapToGrid w:val="0"/>
        <w:spacing w:line="360" w:lineRule="auto"/>
        <w:jc w:val="left"/>
        <w:rPr>
          <w:rFonts w:hint="eastAsia" w:ascii="仿宋" w:hAnsi="仿宋" w:eastAsia="仿宋" w:cs="仿宋"/>
          <w:b/>
          <w:color w:val="auto"/>
          <w:sz w:val="22"/>
          <w:szCs w:val="24"/>
        </w:rPr>
      </w:pPr>
      <w:bookmarkStart w:id="700" w:name="_Toc351203647"/>
      <w:bookmarkStart w:id="701" w:name="_Toc267251483"/>
      <w:bookmarkStart w:id="702" w:name="_Toc267251484"/>
      <w:bookmarkStart w:id="703" w:name="_Toc267251482"/>
      <w:bookmarkStart w:id="704" w:name="_Toc267251485"/>
      <w:bookmarkStart w:id="705" w:name="_Toc267251486"/>
      <w:bookmarkStart w:id="706" w:name="_Toc267251490"/>
      <w:bookmarkStart w:id="707" w:name="_Toc267251489"/>
      <w:bookmarkStart w:id="708" w:name="_Toc267251488"/>
      <w:bookmarkStart w:id="709" w:name="_Toc267251503"/>
      <w:bookmarkStart w:id="710" w:name="_Toc267251493"/>
      <w:bookmarkStart w:id="711" w:name="_Toc267251498"/>
      <w:bookmarkStart w:id="712" w:name="_Toc267251502"/>
      <w:bookmarkStart w:id="713" w:name="_Toc267251499"/>
      <w:bookmarkStart w:id="714" w:name="_Toc267251497"/>
      <w:bookmarkStart w:id="715" w:name="_Toc267251495"/>
      <w:bookmarkStart w:id="716" w:name="_Toc267251496"/>
      <w:bookmarkStart w:id="717" w:name="_Toc267251491"/>
      <w:bookmarkStart w:id="718" w:name="_Toc267251494"/>
      <w:bookmarkStart w:id="719" w:name="_Toc267251492"/>
      <w:bookmarkStart w:id="720" w:name="_Toc267251501"/>
      <w:bookmarkStart w:id="721" w:name="_Toc267251504"/>
      <w:bookmarkStart w:id="722" w:name="_Toc267251506"/>
      <w:bookmarkStart w:id="723" w:name="_Toc267251507"/>
      <w:bookmarkStart w:id="724" w:name="_Toc267251508"/>
      <w:bookmarkStart w:id="725" w:name="_Toc267251515"/>
      <w:bookmarkStart w:id="726" w:name="_Toc267251513"/>
      <w:bookmarkStart w:id="727" w:name="_Toc267251509"/>
      <w:bookmarkStart w:id="728" w:name="_Toc267251514"/>
      <w:bookmarkStart w:id="729" w:name="_Toc267251511"/>
      <w:bookmarkStart w:id="730" w:name="_Toc267251510"/>
      <w:r>
        <w:rPr>
          <w:rFonts w:hint="eastAsia" w:ascii="仿宋" w:hAnsi="仿宋" w:eastAsia="仿宋" w:cs="仿宋"/>
          <w:b/>
          <w:color w:val="auto"/>
          <w:sz w:val="22"/>
          <w:szCs w:val="24"/>
        </w:rPr>
        <w:t>15. 缺陷责任期与保修</w:t>
      </w:r>
      <w:bookmarkEnd w:id="700"/>
    </w:p>
    <w:p w14:paraId="7B85219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15.2缺陷责任期</w:t>
      </w:r>
      <w:bookmarkEnd w:id="701"/>
    </w:p>
    <w:p w14:paraId="3D65A40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缺陷责任期的具体期限：</w:t>
      </w:r>
      <w:r>
        <w:rPr>
          <w:rFonts w:hint="eastAsia" w:ascii="仿宋" w:hAnsi="仿宋" w:eastAsia="仿宋" w:cs="仿宋"/>
          <w:sz w:val="22"/>
          <w:u w:val="single"/>
        </w:rPr>
        <w:t xml:space="preserve"> 自竣工验收之日起5年 </w:t>
      </w:r>
      <w:r>
        <w:rPr>
          <w:rFonts w:hint="eastAsia" w:ascii="仿宋" w:hAnsi="仿宋" w:eastAsia="仿宋" w:cs="仿宋"/>
          <w:sz w:val="22"/>
        </w:rPr>
        <w:t>。</w:t>
      </w:r>
    </w:p>
    <w:p w14:paraId="7F5246D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15.3 质量保证金</w:t>
      </w:r>
    </w:p>
    <w:p w14:paraId="12742C4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关于是否扣留质量保证金的约定：</w:t>
      </w:r>
      <w:r>
        <w:rPr>
          <w:rFonts w:hint="eastAsia" w:ascii="仿宋" w:hAnsi="仿宋" w:eastAsia="仿宋" w:cs="仿宋"/>
          <w:sz w:val="22"/>
          <w:u w:val="single"/>
        </w:rPr>
        <w:t xml:space="preserve"> 扣留质量保证金 </w:t>
      </w:r>
      <w:r>
        <w:rPr>
          <w:rFonts w:hint="eastAsia" w:ascii="仿宋" w:hAnsi="仿宋" w:eastAsia="仿宋" w:cs="仿宋"/>
          <w:sz w:val="22"/>
        </w:rPr>
        <w:t>。</w:t>
      </w:r>
    </w:p>
    <w:p w14:paraId="0DD2693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15.3.1 承包人提供质量保证金的方式</w:t>
      </w:r>
    </w:p>
    <w:p w14:paraId="5C1A63C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质量保证金采用以下第</w:t>
      </w:r>
      <w:r>
        <w:rPr>
          <w:rFonts w:hint="eastAsia" w:ascii="仿宋" w:hAnsi="仿宋" w:eastAsia="仿宋" w:cs="仿宋"/>
          <w:sz w:val="22"/>
          <w:u w:val="single"/>
        </w:rPr>
        <w:t xml:space="preserve"> 2 </w:t>
      </w:r>
      <w:r>
        <w:rPr>
          <w:rFonts w:hint="eastAsia" w:ascii="仿宋" w:hAnsi="仿宋" w:eastAsia="仿宋" w:cs="仿宋"/>
          <w:sz w:val="22"/>
        </w:rPr>
        <w:t>种方式：</w:t>
      </w:r>
    </w:p>
    <w:p w14:paraId="7B71AC9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（1）质量保证金保函，保证金额为：</w:t>
      </w:r>
      <w:r>
        <w:rPr>
          <w:rFonts w:hint="eastAsia" w:ascii="仿宋" w:hAnsi="仿宋" w:eastAsia="仿宋" w:cs="仿宋"/>
          <w:sz w:val="22"/>
          <w:u w:val="single"/>
        </w:rPr>
        <w:t xml:space="preserve">  /  </w:t>
      </w:r>
      <w:r>
        <w:rPr>
          <w:rFonts w:hint="eastAsia" w:ascii="仿宋" w:hAnsi="仿宋" w:eastAsia="仿宋" w:cs="仿宋"/>
          <w:sz w:val="22"/>
        </w:rPr>
        <w:t xml:space="preserve">； </w:t>
      </w:r>
    </w:p>
    <w:p w14:paraId="52F80A8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w:t>
      </w:r>
      <w:r>
        <w:rPr>
          <w:rFonts w:hint="eastAsia" w:ascii="仿宋" w:hAnsi="仿宋" w:eastAsia="仿宋" w:cs="仿宋"/>
          <w:sz w:val="22"/>
          <w:u w:val="single"/>
        </w:rPr>
        <w:t xml:space="preserve">3 </w:t>
      </w:r>
      <w:r>
        <w:rPr>
          <w:rFonts w:hint="eastAsia" w:ascii="仿宋" w:hAnsi="仿宋" w:eastAsia="仿宋" w:cs="仿宋"/>
          <w:sz w:val="22"/>
        </w:rPr>
        <w:t>%的工程款；</w:t>
      </w:r>
    </w:p>
    <w:p w14:paraId="10B7E04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（3）其他方式:</w:t>
      </w:r>
      <w:r>
        <w:rPr>
          <w:rFonts w:hint="eastAsia" w:ascii="仿宋" w:hAnsi="仿宋" w:eastAsia="仿宋" w:cs="仿宋"/>
          <w:sz w:val="22"/>
          <w:u w:val="single"/>
        </w:rPr>
        <w:t xml:space="preserve"> / </w:t>
      </w:r>
      <w:r>
        <w:rPr>
          <w:rFonts w:hint="eastAsia" w:ascii="仿宋" w:hAnsi="仿宋" w:eastAsia="仿宋" w:cs="仿宋"/>
          <w:sz w:val="22"/>
        </w:rPr>
        <w:t>。</w:t>
      </w:r>
    </w:p>
    <w:p w14:paraId="7924402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 xml:space="preserve">15.3.2 质量保证金的扣留 </w:t>
      </w:r>
    </w:p>
    <w:p w14:paraId="7EBE577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质量保证金的扣留采取以下第</w:t>
      </w:r>
      <w:r>
        <w:rPr>
          <w:rFonts w:hint="eastAsia" w:ascii="仿宋" w:hAnsi="仿宋" w:eastAsia="仿宋" w:cs="仿宋"/>
          <w:sz w:val="22"/>
          <w:u w:val="single"/>
        </w:rPr>
        <w:t xml:space="preserve"> 2 </w:t>
      </w:r>
      <w:r>
        <w:rPr>
          <w:rFonts w:hint="eastAsia" w:ascii="仿宋" w:hAnsi="仿宋" w:eastAsia="仿宋" w:cs="仿宋"/>
          <w:sz w:val="22"/>
        </w:rPr>
        <w:t>种方式：</w:t>
      </w:r>
    </w:p>
    <w:p w14:paraId="672E195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（1）在支付工程进度款时逐次扣留，在此情形下，质量保证金的计算基数不包括预付款的支付、扣回以及价格调整的金额；</w:t>
      </w:r>
    </w:p>
    <w:p w14:paraId="6E8FFA5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（2）工程竣工结算时一次性扣留质量保证金；</w:t>
      </w:r>
    </w:p>
    <w:p w14:paraId="248401F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（3）其他扣留方式:</w:t>
      </w:r>
    </w:p>
    <w:p w14:paraId="774B840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关于质量保证金的补充约定：质量保证金在缺陷责任期满后30天内双方付清（保修金不计利息）</w:t>
      </w:r>
      <w:r>
        <w:rPr>
          <w:rFonts w:hint="eastAsia" w:ascii="仿宋" w:hAnsi="仿宋" w:eastAsia="仿宋" w:cs="仿宋"/>
          <w:sz w:val="22"/>
        </w:rPr>
        <w:t>。</w:t>
      </w:r>
    </w:p>
    <w:bookmarkEnd w:id="702"/>
    <w:bookmarkEnd w:id="703"/>
    <w:p w14:paraId="27157FC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15.4保修</w:t>
      </w:r>
    </w:p>
    <w:bookmarkEnd w:id="704"/>
    <w:p w14:paraId="7ED2B5FF">
      <w:pPr>
        <w:adjustRightInd w:val="0"/>
        <w:snapToGrid w:val="0"/>
        <w:spacing w:line="360" w:lineRule="auto"/>
        <w:ind w:firstLine="429" w:firstLineChars="195"/>
        <w:jc w:val="left"/>
        <w:rPr>
          <w:rFonts w:hint="eastAsia" w:ascii="仿宋" w:hAnsi="仿宋" w:eastAsia="仿宋" w:cs="仿宋"/>
          <w:sz w:val="22"/>
        </w:rPr>
      </w:pPr>
      <w:r>
        <w:rPr>
          <w:rFonts w:hint="eastAsia" w:ascii="仿宋" w:hAnsi="仿宋" w:eastAsia="仿宋" w:cs="仿宋"/>
          <w:sz w:val="22"/>
        </w:rPr>
        <w:t>15.4.1 保修责任</w:t>
      </w:r>
    </w:p>
    <w:p w14:paraId="749D0240">
      <w:pPr>
        <w:adjustRightInd w:val="0"/>
        <w:snapToGrid w:val="0"/>
        <w:spacing w:line="360" w:lineRule="auto"/>
        <w:ind w:firstLine="429" w:firstLineChars="195"/>
        <w:jc w:val="left"/>
        <w:rPr>
          <w:rFonts w:hint="eastAsia" w:ascii="仿宋" w:hAnsi="仿宋" w:eastAsia="仿宋" w:cs="仿宋"/>
          <w:sz w:val="22"/>
        </w:rPr>
      </w:pPr>
      <w:r>
        <w:rPr>
          <w:rFonts w:hint="eastAsia" w:ascii="仿宋" w:hAnsi="仿宋" w:eastAsia="仿宋" w:cs="仿宋"/>
          <w:sz w:val="22"/>
        </w:rPr>
        <w:t>工程保修期为：</w:t>
      </w:r>
      <w:r>
        <w:rPr>
          <w:rFonts w:hint="eastAsia" w:ascii="仿宋" w:hAnsi="仿宋" w:eastAsia="仿宋" w:cs="仿宋"/>
          <w:sz w:val="22"/>
          <w:u w:val="single"/>
        </w:rPr>
        <w:t>详见“附件1：工程质量保修书”</w:t>
      </w:r>
      <w:r>
        <w:rPr>
          <w:rFonts w:hint="eastAsia" w:ascii="仿宋" w:hAnsi="仿宋" w:eastAsia="仿宋" w:cs="仿宋"/>
          <w:sz w:val="22"/>
        </w:rPr>
        <w:t>。</w:t>
      </w:r>
    </w:p>
    <w:p w14:paraId="466C52F3">
      <w:pPr>
        <w:adjustRightInd w:val="0"/>
        <w:snapToGrid w:val="0"/>
        <w:spacing w:line="360" w:lineRule="auto"/>
        <w:ind w:firstLine="429" w:firstLineChars="195"/>
        <w:jc w:val="left"/>
        <w:rPr>
          <w:rFonts w:hint="eastAsia" w:ascii="仿宋" w:hAnsi="仿宋" w:eastAsia="仿宋" w:cs="仿宋"/>
          <w:sz w:val="22"/>
        </w:rPr>
      </w:pPr>
      <w:r>
        <w:rPr>
          <w:rFonts w:hint="eastAsia" w:ascii="仿宋" w:hAnsi="仿宋" w:eastAsia="仿宋" w:cs="仿宋"/>
          <w:sz w:val="22"/>
        </w:rPr>
        <w:t>15.4.3 修复通知</w:t>
      </w:r>
    </w:p>
    <w:p w14:paraId="44B71E4D">
      <w:pPr>
        <w:adjustRightInd w:val="0"/>
        <w:snapToGrid w:val="0"/>
        <w:spacing w:line="360" w:lineRule="auto"/>
        <w:ind w:firstLine="429" w:firstLineChars="195"/>
        <w:jc w:val="left"/>
        <w:rPr>
          <w:rFonts w:hint="eastAsia" w:ascii="仿宋" w:hAnsi="仿宋" w:eastAsia="仿宋" w:cs="仿宋"/>
          <w:sz w:val="22"/>
          <w:u w:val="single"/>
        </w:rPr>
      </w:pPr>
      <w:r>
        <w:rPr>
          <w:rFonts w:hint="eastAsia" w:ascii="仿宋" w:hAnsi="仿宋" w:eastAsia="仿宋" w:cs="仿宋"/>
          <w:sz w:val="22"/>
        </w:rPr>
        <w:t>承包人收到保修通知并到达工程现场的合理时间：</w:t>
      </w:r>
      <w:r>
        <w:rPr>
          <w:rFonts w:hint="eastAsia" w:ascii="仿宋" w:hAnsi="仿宋" w:eastAsia="仿宋" w:cs="仿宋"/>
          <w:sz w:val="22"/>
          <w:u w:val="single"/>
        </w:rPr>
        <w:t>接到发包人通知后24小时内，如逾期未进行维修的，承包人每次承担违约金5000元，同时发包人可以自行维修或委托第三方维修，违约金和维修费用直接在质量保证金中扣除.。</w:t>
      </w:r>
    </w:p>
    <w:bookmarkEnd w:id="705"/>
    <w:bookmarkEnd w:id="706"/>
    <w:bookmarkEnd w:id="707"/>
    <w:bookmarkEnd w:id="708"/>
    <w:p w14:paraId="40124AA3">
      <w:pPr>
        <w:pStyle w:val="5"/>
        <w:keepNext w:val="0"/>
        <w:adjustRightInd w:val="0"/>
        <w:snapToGrid w:val="0"/>
        <w:spacing w:line="360" w:lineRule="auto"/>
        <w:jc w:val="left"/>
        <w:rPr>
          <w:rFonts w:hint="eastAsia" w:ascii="仿宋" w:hAnsi="仿宋" w:eastAsia="仿宋" w:cs="仿宋"/>
          <w:b/>
          <w:color w:val="auto"/>
          <w:sz w:val="22"/>
          <w:szCs w:val="24"/>
        </w:rPr>
      </w:pPr>
      <w:bookmarkStart w:id="731" w:name="_Toc351203648"/>
      <w:bookmarkStart w:id="732" w:name="_Toc280868717"/>
      <w:bookmarkStart w:id="733" w:name="_Toc280868718"/>
      <w:r>
        <w:rPr>
          <w:rFonts w:hint="eastAsia" w:ascii="仿宋" w:hAnsi="仿宋" w:eastAsia="仿宋" w:cs="仿宋"/>
          <w:b/>
          <w:color w:val="auto"/>
          <w:sz w:val="22"/>
          <w:szCs w:val="24"/>
        </w:rPr>
        <w:t>16. 违约</w:t>
      </w:r>
      <w:bookmarkEnd w:id="731"/>
    </w:p>
    <w:p w14:paraId="18C620D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16.1 发包人违约</w:t>
      </w:r>
    </w:p>
    <w:p w14:paraId="03E59DFD">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16.1.1发包人违约的情形</w:t>
      </w:r>
    </w:p>
    <w:p w14:paraId="1AEA9EE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发包人违约的其他情形：</w:t>
      </w:r>
      <w:r>
        <w:rPr>
          <w:rStyle w:val="287"/>
          <w:rFonts w:hint="eastAsia" w:ascii="仿宋" w:hAnsi="仿宋" w:eastAsia="仿宋" w:cs="仿宋"/>
          <w:sz w:val="22"/>
        </w:rPr>
        <w:t>无</w:t>
      </w:r>
      <w:r>
        <w:rPr>
          <w:rFonts w:hint="eastAsia" w:ascii="仿宋" w:hAnsi="仿宋" w:eastAsia="仿宋" w:cs="仿宋"/>
          <w:sz w:val="22"/>
        </w:rPr>
        <w:t>。</w:t>
      </w:r>
    </w:p>
    <w:p w14:paraId="35DE8292">
      <w:pPr>
        <w:adjustRightInd w:val="0"/>
        <w:snapToGrid w:val="0"/>
        <w:spacing w:line="360" w:lineRule="auto"/>
        <w:ind w:left="1100" w:hanging="1100" w:hangingChars="500"/>
        <w:jc w:val="left"/>
        <w:rPr>
          <w:rFonts w:hint="eastAsia" w:ascii="仿宋" w:hAnsi="仿宋" w:eastAsia="仿宋" w:cs="仿宋"/>
          <w:sz w:val="22"/>
        </w:rPr>
      </w:pPr>
      <w:r>
        <w:rPr>
          <w:rFonts w:hint="eastAsia" w:ascii="仿宋" w:hAnsi="仿宋" w:eastAsia="仿宋" w:cs="仿宋"/>
          <w:sz w:val="22"/>
        </w:rPr>
        <w:t xml:space="preserve">    16.1.2 发包人违约的责任</w:t>
      </w:r>
    </w:p>
    <w:p w14:paraId="3443EA8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发包人违约责任的承担方式和计算方法：</w:t>
      </w:r>
    </w:p>
    <w:p w14:paraId="2C897F4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（1）因发包人原因未能在计划开工日期前7天内下达开工通知的违约责任：</w:t>
      </w:r>
      <w:r>
        <w:rPr>
          <w:rFonts w:hint="eastAsia" w:ascii="仿宋" w:hAnsi="仿宋" w:eastAsia="仿宋" w:cs="仿宋"/>
          <w:sz w:val="22"/>
          <w:u w:val="single"/>
        </w:rPr>
        <w:t>相应工期顺延。</w:t>
      </w:r>
    </w:p>
    <w:p w14:paraId="31E3D9A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（2）因发包人原因未能按合同约定支付合同价款的违约责任：</w:t>
      </w:r>
      <w:r>
        <w:rPr>
          <w:rFonts w:hint="eastAsia" w:ascii="仿宋" w:hAnsi="仿宋" w:eastAsia="仿宋" w:cs="仿宋"/>
          <w:sz w:val="22"/>
          <w:u w:val="single"/>
        </w:rPr>
        <w:t>发包人按照中国人民银行发布的同期同类贷款基准利率向承包人支付违约金。承包人将继续按施工组织设计计划施工且不因此原因提出延长工期的要求。</w:t>
      </w:r>
    </w:p>
    <w:p w14:paraId="0D20900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（3）发包人违反第10.1款〔变更的范围〕第（2）项约定，自行实施被取消的工作或转由他人实施的违约责任：</w:t>
      </w:r>
      <w:r>
        <w:rPr>
          <w:rFonts w:hint="eastAsia" w:ascii="仿宋" w:hAnsi="仿宋" w:eastAsia="仿宋" w:cs="仿宋"/>
          <w:sz w:val="22"/>
          <w:u w:val="single"/>
        </w:rPr>
        <w:t>按自行实施被取消的工作或转由他人实施的工程造价的2%支付违约金(承发包双方协商一致除外)。</w:t>
      </w:r>
    </w:p>
    <w:p w14:paraId="3541A87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（4）发包人提供的材料、工程设备的规格、数量或质量不符合合同约定，或因发包人原因导致交货日期延误或交货地点变更等情况的违约责任：</w:t>
      </w:r>
      <w:r>
        <w:rPr>
          <w:rFonts w:hint="eastAsia" w:ascii="仿宋" w:hAnsi="仿宋" w:eastAsia="仿宋" w:cs="仿宋"/>
          <w:sz w:val="22"/>
          <w:u w:val="single"/>
        </w:rPr>
        <w:t>如造成工期延误的，工期相应顺延。</w:t>
      </w:r>
    </w:p>
    <w:p w14:paraId="32E8D43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（5）因发包人违反合同约定造成暂停施工的违约责任：</w:t>
      </w:r>
      <w:r>
        <w:rPr>
          <w:rFonts w:hint="eastAsia" w:ascii="仿宋" w:hAnsi="仿宋" w:eastAsia="仿宋" w:cs="仿宋"/>
          <w:sz w:val="22"/>
          <w:u w:val="single"/>
        </w:rPr>
        <w:t>如造成工期延误的，工期相应顺延。</w:t>
      </w:r>
    </w:p>
    <w:p w14:paraId="29222CE8">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（6）发包人无正当理由没有在约定期限内发出复工指示，导致承包人无法复工的违约责任：</w:t>
      </w:r>
      <w:r>
        <w:rPr>
          <w:rFonts w:hint="eastAsia" w:ascii="仿宋" w:hAnsi="仿宋" w:eastAsia="仿宋" w:cs="仿宋"/>
          <w:sz w:val="22"/>
          <w:u w:val="single"/>
        </w:rPr>
        <w:t>如造成工期延误的，工期相应顺延。</w:t>
      </w:r>
    </w:p>
    <w:p w14:paraId="1F217B7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（7）其他：</w:t>
      </w:r>
      <w:r>
        <w:rPr>
          <w:rFonts w:hint="eastAsia" w:ascii="仿宋" w:hAnsi="仿宋" w:eastAsia="仿宋" w:cs="仿宋"/>
          <w:sz w:val="22"/>
          <w:u w:val="single"/>
        </w:rPr>
        <w:t xml:space="preserve">   无  。</w:t>
      </w:r>
    </w:p>
    <w:p w14:paraId="628ABDD3">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16.1.3 因发包人违约解除合同</w:t>
      </w:r>
    </w:p>
    <w:p w14:paraId="7FA144E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承包人按16.1.1项〔除第（2）条的情形〕约定暂停施工满</w:t>
      </w:r>
      <w:r>
        <w:rPr>
          <w:rFonts w:hint="eastAsia" w:ascii="仿宋" w:hAnsi="仿宋" w:eastAsia="仿宋" w:cs="仿宋"/>
          <w:sz w:val="22"/>
          <w:u w:val="single"/>
        </w:rPr>
        <w:t xml:space="preserve"> 28 </w:t>
      </w:r>
      <w:r>
        <w:rPr>
          <w:rFonts w:hint="eastAsia" w:ascii="仿宋" w:hAnsi="仿宋" w:eastAsia="仿宋" w:cs="仿宋"/>
          <w:sz w:val="22"/>
        </w:rPr>
        <w:t>天后发包人仍不纠正其违约行为并致使合同目的不能实现的，承包人有权解除合同。</w:t>
      </w:r>
    </w:p>
    <w:p w14:paraId="68DE534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16.2 承包人违约</w:t>
      </w:r>
    </w:p>
    <w:p w14:paraId="342D852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16.2.1 承包人违约的情形</w:t>
      </w:r>
    </w:p>
    <w:p w14:paraId="515A62D7">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承包人违约的其他情形：</w:t>
      </w:r>
      <w:r>
        <w:rPr>
          <w:rFonts w:hint="eastAsia" w:ascii="仿宋" w:hAnsi="仿宋" w:eastAsia="仿宋" w:cs="仿宋"/>
          <w:sz w:val="22"/>
          <w:u w:val="single"/>
        </w:rPr>
        <w:t>因承包人原因未依据本合同履行义务，完成本工程范围的工作，发包人有权按以下约定向承包人收取违约金。 </w:t>
      </w:r>
    </w:p>
    <w:p w14:paraId="138EAFFE">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A、因承包人违约给发包人造成损失的，承包人应赔偿发包人的直接和间接经济损失。</w:t>
      </w:r>
    </w:p>
    <w:p w14:paraId="64026D9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B、如承包人未能完成施工进度计划工作量的80%，发包人有权将其中部分工程委托他人进行施工或停止支付工程款，由此产生的费用加收10%的管理费后从承包人的合同款内扣除。 </w:t>
      </w:r>
    </w:p>
    <w:p w14:paraId="4C338DF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C、因承包人原因导致技术文件（包括竣工图纸、签证等）未能按约定时间提交，每迟一天，发包人在支付给承包人的工程款内扣除1000元的违约金。违约金的扣除并不解除承包人继续交付上述技术文件的义务。 </w:t>
      </w:r>
    </w:p>
    <w:p w14:paraId="70DA924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若承包人擅自停工或单方面终止合同的履行或违约，发包人有权解除合同，在本合同解除后，承包人必须在5天内无条件退场，承包人每延迟一天退场，须承担5000元违约金；超过15天未退场的发包人有权强制退场，承包人必须承担由此而给发包人造成所有损失的赔偿责任。同时，承包人应妥善做好已完工程和工程设备、甲供材料的保护和移交工作并配合发包人做好己完工程量和现场设备、材料的统计和登记工作；</w:t>
      </w:r>
    </w:p>
    <w:p w14:paraId="0C2A7B3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E、承包人不按规定支付工人工资和材料供应商的材料款，每发生一次投诉，一经查实，处以20000元/次的违约金。承包人如未按合同约定进行材料的采购，被发包人查获，每发现一起，处以20000元/次的违约金。</w:t>
      </w:r>
    </w:p>
    <w:p w14:paraId="54C4F91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F、因承包人提交的项目工程质量验收不合格，导致的工期延误，视为承包人违约，承包人应向发包人承担相应的违约责任。</w:t>
      </w:r>
    </w:p>
    <w:p w14:paraId="2393DB17">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16.2.2承包人违约的责任</w:t>
      </w:r>
    </w:p>
    <w:p w14:paraId="7A48D9FE">
      <w:pPr>
        <w:tabs>
          <w:tab w:val="left" w:pos="905"/>
          <w:tab w:val="left" w:pos="1800"/>
        </w:tabs>
        <w:adjustRightInd w:val="0"/>
        <w:snapToGrid w:val="0"/>
        <w:spacing w:line="360" w:lineRule="auto"/>
        <w:ind w:firstLine="408"/>
        <w:jc w:val="left"/>
        <w:rPr>
          <w:rFonts w:hint="eastAsia" w:ascii="仿宋" w:hAnsi="仿宋" w:eastAsia="仿宋" w:cs="仿宋"/>
          <w:sz w:val="22"/>
          <w:u w:val="single"/>
        </w:rPr>
      </w:pPr>
      <w:r>
        <w:rPr>
          <w:rFonts w:hint="eastAsia" w:ascii="仿宋" w:hAnsi="仿宋" w:eastAsia="仿宋" w:cs="仿宋"/>
          <w:sz w:val="22"/>
        </w:rPr>
        <w:t>承包人违约责任的承担方式和计算方法：</w:t>
      </w:r>
      <w:r>
        <w:rPr>
          <w:rFonts w:hint="eastAsia" w:ascii="仿宋" w:hAnsi="仿宋" w:eastAsia="仿宋" w:cs="仿宋"/>
          <w:sz w:val="22"/>
          <w:u w:val="single"/>
        </w:rPr>
        <w:t>因承包人违约给发包人造成损失的，承包人应赔偿发包人的直接和间接经济损失，发包人有权在承包人工程结算款中扣除由此而给发包人造成的经济损失。工程质量应符合国家验收规范，若质量未达到要求，承包人按合同总造价2%给予发包人赔偿，且承包人应进行整改直至达到约定质量等级；如因承包人原因，导致竣工工期滞后于合同工期，承包人应按合同价格的万分之三/天向发包人支付逾期竣工违约金。</w:t>
      </w:r>
    </w:p>
    <w:p w14:paraId="57DFE0E7">
      <w:pPr>
        <w:tabs>
          <w:tab w:val="left" w:pos="905"/>
          <w:tab w:val="left" w:pos="1800"/>
        </w:tabs>
        <w:adjustRightInd w:val="0"/>
        <w:snapToGrid w:val="0"/>
        <w:spacing w:line="360" w:lineRule="auto"/>
        <w:ind w:firstLine="408"/>
        <w:jc w:val="left"/>
        <w:rPr>
          <w:rFonts w:hint="eastAsia" w:ascii="仿宋" w:hAnsi="仿宋" w:eastAsia="仿宋" w:cs="仿宋"/>
          <w:sz w:val="22"/>
          <w:u w:val="single"/>
        </w:rPr>
      </w:pPr>
      <w:r>
        <w:rPr>
          <w:rFonts w:hint="eastAsia" w:ascii="仿宋" w:hAnsi="仿宋" w:eastAsia="仿宋" w:cs="仿宋"/>
          <w:sz w:val="22"/>
          <w:u w:val="single"/>
        </w:rPr>
        <w:t>承包人的各项违约金、赔偿金，发包人均有权从未付工程款中直接予以扣除。</w:t>
      </w:r>
    </w:p>
    <w:p w14:paraId="42C3F30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16.2.3 因承包人违约解除合同</w:t>
      </w:r>
    </w:p>
    <w:p w14:paraId="724F5012">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关于承包人违约解除合同的特别约定：</w:t>
      </w:r>
      <w:r>
        <w:rPr>
          <w:rFonts w:hint="eastAsia" w:ascii="仿宋" w:hAnsi="仿宋" w:eastAsia="仿宋" w:cs="仿宋"/>
          <w:sz w:val="22"/>
          <w:u w:val="single"/>
        </w:rPr>
        <w:t xml:space="preserve">按通用条款执行 </w:t>
      </w:r>
      <w:r>
        <w:rPr>
          <w:rFonts w:hint="eastAsia" w:ascii="仿宋" w:hAnsi="仿宋" w:eastAsia="仿宋" w:cs="仿宋"/>
          <w:sz w:val="22"/>
        </w:rPr>
        <w:t>。</w:t>
      </w:r>
    </w:p>
    <w:p w14:paraId="67BFBE65">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发包人继续使用承包人在施工现场的材料、设备、临时工程、承包人文件和由承包人或以其名义编制的其他文件的费用承担方式：</w:t>
      </w:r>
      <w:r>
        <w:rPr>
          <w:rFonts w:hint="eastAsia" w:ascii="仿宋" w:hAnsi="仿宋" w:eastAsia="仿宋" w:cs="仿宋"/>
          <w:sz w:val="22"/>
          <w:u w:val="single"/>
        </w:rPr>
        <w:t xml:space="preserve"> 发包人将按承包人已完成工程量和承包人在施工现场的材料、设备、临时工程价格的70%给予结算 。承包人文件和由承包人或以其名义编制的其他文件的费用由承包人自行承担。 </w:t>
      </w:r>
    </w:p>
    <w:p w14:paraId="41F80C45">
      <w:pPr>
        <w:pStyle w:val="5"/>
        <w:keepNext w:val="0"/>
        <w:adjustRightInd w:val="0"/>
        <w:snapToGrid w:val="0"/>
        <w:spacing w:line="360" w:lineRule="auto"/>
        <w:jc w:val="left"/>
        <w:rPr>
          <w:rFonts w:hint="eastAsia" w:ascii="仿宋" w:hAnsi="仿宋" w:eastAsia="仿宋" w:cs="仿宋"/>
          <w:b/>
          <w:color w:val="auto"/>
          <w:sz w:val="22"/>
          <w:szCs w:val="24"/>
        </w:rPr>
      </w:pPr>
      <w:bookmarkStart w:id="734" w:name="_Toc351203649"/>
      <w:r>
        <w:rPr>
          <w:rFonts w:hint="eastAsia" w:ascii="仿宋" w:hAnsi="仿宋" w:eastAsia="仿宋" w:cs="仿宋"/>
          <w:b/>
          <w:color w:val="auto"/>
          <w:sz w:val="22"/>
          <w:szCs w:val="24"/>
        </w:rPr>
        <w:t>17. 不可抗力</w:t>
      </w:r>
      <w:bookmarkEnd w:id="732"/>
      <w:bookmarkEnd w:id="734"/>
    </w:p>
    <w:p w14:paraId="63FB9C4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17.1 不可抗力的确认</w:t>
      </w:r>
    </w:p>
    <w:p w14:paraId="46A6B771">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除通用合同条款约定的不可抗力事件之外，视为不可抗力的其他情形：</w:t>
      </w:r>
    </w:p>
    <w:p w14:paraId="04D8429F">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1、不可抗力包括因战争、动乱、空中飞行物体坠落或其他非发包人承包人责任造成的爆炸、火灾，以及以下方面的自然灾害：</w:t>
      </w:r>
    </w:p>
    <w:p w14:paraId="778075B2">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A、烈度为6级以上的地震；</w:t>
      </w:r>
    </w:p>
    <w:p w14:paraId="163026C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B、6级以上持续24小时的大风；</w:t>
      </w:r>
    </w:p>
    <w:p w14:paraId="504B5B9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C、持续降雨24小时且降雨量200 mm以上；下雪为30mm以上；</w:t>
      </w:r>
    </w:p>
    <w:p w14:paraId="76062A9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D、40℃及以上持续24小时的高温；</w:t>
      </w:r>
    </w:p>
    <w:p w14:paraId="659BCDAC">
      <w:pPr>
        <w:numPr>
          <w:ilvl w:val="0"/>
          <w:numId w:val="7"/>
        </w:num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 xml:space="preserve">不可抗力事件发生后，承包人应立即通知监理，在力所能及的条件下迅速采取措施，尽力减少损失，发包人应协助承包人采取措施。不可抗力事件结束后48小时内承包人向监理通报受害情况和损失情况，及预计清理和修复的费用。 不可抗力事件持续发生，承包人应每隔7天向监理报告一次受害情况。不可抗力事件结束后14天内，承包人向监理提交清理和修复费用的正式报告及有关资料。 </w:t>
      </w:r>
    </w:p>
    <w:p w14:paraId="252E26F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3、因不可抗力事件导致的费用由双方按以下方法分别承担：</w:t>
      </w:r>
    </w:p>
    <w:p w14:paraId="76997F49">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A、工程本身的损害（承包人施工质量未达标准除外）、因工程损害导致自身、发包人或第三方人员伤亡和财产损失以及运至施工场地用于施工的材料和待安装的设备的损害，由承包人承担； </w:t>
      </w:r>
    </w:p>
    <w:p w14:paraId="79B4FE2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B、发包人、承包人人员伤亡由其所在单位负责，并承担相应费用； </w:t>
      </w:r>
    </w:p>
    <w:p w14:paraId="2F869733">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C、承包人的施工机械设备损坏及停工损失，由承包人承担； </w:t>
      </w:r>
    </w:p>
    <w:p w14:paraId="59635D90">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D、停工期间，承包人应发包人要求留在施工场地的必要的管理人员及保卫人员的费用，由发包人承担； </w:t>
      </w:r>
    </w:p>
    <w:p w14:paraId="54093594">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E、工程所需清理、修复费用，由发包人承担。 </w:t>
      </w:r>
    </w:p>
    <w:p w14:paraId="0059478F">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u w:val="single"/>
        </w:rPr>
        <w:t>F、因合同一方迟延履行合同后发生不可抗力的，不能免除迟延履行方的相应责任。</w:t>
      </w:r>
    </w:p>
    <w:p w14:paraId="7C1AF5C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17.4 因不可抗力解除合同</w:t>
      </w:r>
    </w:p>
    <w:p w14:paraId="3154331B">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合同解除后，发包人应在商定或确定发包人应支付款项后</w:t>
      </w:r>
      <w:r>
        <w:rPr>
          <w:rFonts w:hint="eastAsia" w:ascii="仿宋" w:hAnsi="仿宋" w:eastAsia="仿宋" w:cs="仿宋"/>
          <w:sz w:val="22"/>
          <w:u w:val="single"/>
        </w:rPr>
        <w:t xml:space="preserve"> 90 </w:t>
      </w:r>
      <w:r>
        <w:rPr>
          <w:rFonts w:hint="eastAsia" w:ascii="仿宋" w:hAnsi="仿宋" w:eastAsia="仿宋" w:cs="仿宋"/>
          <w:sz w:val="22"/>
        </w:rPr>
        <w:t>天内完成款项的支付。</w:t>
      </w:r>
    </w:p>
    <w:p w14:paraId="06396A41">
      <w:pPr>
        <w:adjustRightInd w:val="0"/>
        <w:snapToGrid w:val="0"/>
        <w:spacing w:line="360" w:lineRule="auto"/>
        <w:jc w:val="left"/>
        <w:rPr>
          <w:rFonts w:hint="eastAsia" w:ascii="仿宋" w:hAnsi="仿宋" w:eastAsia="仿宋" w:cs="仿宋"/>
          <w:sz w:val="22"/>
          <w:u w:val="single"/>
        </w:rPr>
      </w:pPr>
      <w:bookmarkStart w:id="735" w:name="_Toc351203650"/>
      <w:r>
        <w:rPr>
          <w:rFonts w:hint="eastAsia" w:ascii="仿宋" w:hAnsi="仿宋" w:eastAsia="仿宋" w:cs="仿宋"/>
          <w:b/>
          <w:bCs/>
          <w:sz w:val="22"/>
        </w:rPr>
        <w:t>18. 保险</w:t>
      </w:r>
      <w:bookmarkEnd w:id="735"/>
    </w:p>
    <w:bookmarkEnd w:id="733"/>
    <w:p w14:paraId="63ADF21D">
      <w:pPr>
        <w:adjustRightInd w:val="0"/>
        <w:snapToGrid w:val="0"/>
        <w:spacing w:line="360" w:lineRule="auto"/>
        <w:ind w:firstLine="442" w:firstLineChars="200"/>
        <w:jc w:val="left"/>
        <w:rPr>
          <w:rFonts w:hint="eastAsia" w:ascii="仿宋" w:hAnsi="仿宋" w:eastAsia="仿宋" w:cs="仿宋"/>
          <w:b/>
          <w:bCs/>
          <w:sz w:val="22"/>
        </w:rPr>
      </w:pPr>
      <w:r>
        <w:rPr>
          <w:rFonts w:hint="eastAsia" w:ascii="仿宋" w:hAnsi="仿宋" w:eastAsia="仿宋" w:cs="仿宋"/>
          <w:b/>
          <w:bCs/>
          <w:sz w:val="22"/>
        </w:rPr>
        <w:t>18.1 工程保险</w:t>
      </w:r>
    </w:p>
    <w:p w14:paraId="232E2CB6">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关于工程保险的特别约定：</w:t>
      </w:r>
      <w:r>
        <w:rPr>
          <w:rFonts w:hint="eastAsia" w:ascii="仿宋" w:hAnsi="仿宋" w:eastAsia="仿宋" w:cs="仿宋"/>
          <w:sz w:val="22"/>
          <w:u w:val="single"/>
        </w:rPr>
        <w:t>建设工程社会保障费按照江宁区有关社会保障费的相关规定要求执行。发包人预交社会保障费至江宁区建工局，开工后发包人将在首付工程款中扣回该费用。</w:t>
      </w:r>
    </w:p>
    <w:p w14:paraId="3D76045B">
      <w:pPr>
        <w:adjustRightInd w:val="0"/>
        <w:snapToGrid w:val="0"/>
        <w:spacing w:line="360" w:lineRule="auto"/>
        <w:ind w:firstLine="442" w:firstLineChars="200"/>
        <w:jc w:val="left"/>
        <w:rPr>
          <w:rFonts w:hint="eastAsia" w:ascii="仿宋" w:hAnsi="仿宋" w:eastAsia="仿宋" w:cs="仿宋"/>
          <w:b/>
          <w:bCs/>
          <w:sz w:val="22"/>
        </w:rPr>
      </w:pPr>
      <w:r>
        <w:rPr>
          <w:rFonts w:hint="eastAsia" w:ascii="仿宋" w:hAnsi="仿宋" w:eastAsia="仿宋" w:cs="仿宋"/>
          <w:b/>
          <w:bCs/>
          <w:sz w:val="22"/>
        </w:rPr>
        <w:t>18.3 其他保险</w:t>
      </w:r>
    </w:p>
    <w:p w14:paraId="7391E069">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关于其他保险的约定：</w:t>
      </w:r>
      <w:r>
        <w:rPr>
          <w:rFonts w:hint="eastAsia" w:ascii="仿宋" w:hAnsi="仿宋" w:eastAsia="仿宋" w:cs="仿宋"/>
          <w:sz w:val="22"/>
          <w:u w:val="single"/>
        </w:rPr>
        <w:t>按通用条款执行</w:t>
      </w:r>
      <w:r>
        <w:rPr>
          <w:rFonts w:hint="eastAsia" w:ascii="仿宋" w:hAnsi="仿宋" w:eastAsia="仿宋" w:cs="仿宋"/>
          <w:sz w:val="22"/>
        </w:rPr>
        <w:t>。</w:t>
      </w:r>
    </w:p>
    <w:p w14:paraId="3E5B15A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承包人是否应为其施工设备等办理财产保险：</w:t>
      </w:r>
      <w:r>
        <w:rPr>
          <w:rFonts w:hint="eastAsia" w:ascii="仿宋" w:hAnsi="仿宋" w:eastAsia="仿宋" w:cs="仿宋"/>
          <w:sz w:val="22"/>
          <w:u w:val="single"/>
        </w:rPr>
        <w:t xml:space="preserve"> 是 </w:t>
      </w:r>
      <w:r>
        <w:rPr>
          <w:rFonts w:hint="eastAsia" w:ascii="仿宋" w:hAnsi="仿宋" w:eastAsia="仿宋" w:cs="仿宋"/>
          <w:sz w:val="22"/>
        </w:rPr>
        <w:t>。</w:t>
      </w:r>
    </w:p>
    <w:p w14:paraId="475B7FA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18.7 通知义务</w:t>
      </w:r>
    </w:p>
    <w:p w14:paraId="1C3D733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关于变更保险合同时的通知义务的约定：</w:t>
      </w:r>
      <w:r>
        <w:rPr>
          <w:rFonts w:hint="eastAsia" w:ascii="仿宋" w:hAnsi="仿宋" w:eastAsia="仿宋" w:cs="仿宋"/>
          <w:sz w:val="22"/>
          <w:u w:val="single"/>
        </w:rPr>
        <w:t xml:space="preserve">  按通用条款执行</w:t>
      </w:r>
      <w:r>
        <w:rPr>
          <w:rFonts w:hint="eastAsia" w:ascii="仿宋" w:hAnsi="仿宋" w:eastAsia="仿宋" w:cs="仿宋"/>
          <w:sz w:val="22"/>
        </w:rPr>
        <w:t>。</w:t>
      </w:r>
    </w:p>
    <w:bookmarkEnd w:id="709"/>
    <w:bookmarkEnd w:id="710"/>
    <w:bookmarkEnd w:id="711"/>
    <w:bookmarkEnd w:id="712"/>
    <w:bookmarkEnd w:id="713"/>
    <w:bookmarkEnd w:id="714"/>
    <w:bookmarkEnd w:id="715"/>
    <w:bookmarkEnd w:id="716"/>
    <w:bookmarkEnd w:id="717"/>
    <w:bookmarkEnd w:id="718"/>
    <w:bookmarkEnd w:id="719"/>
    <w:bookmarkEnd w:id="720"/>
    <w:p w14:paraId="7C7A4312">
      <w:pPr>
        <w:pStyle w:val="5"/>
        <w:keepNext w:val="0"/>
        <w:adjustRightInd w:val="0"/>
        <w:snapToGrid w:val="0"/>
        <w:spacing w:line="360" w:lineRule="auto"/>
        <w:jc w:val="left"/>
        <w:rPr>
          <w:rFonts w:hint="eastAsia" w:ascii="仿宋" w:hAnsi="仿宋" w:eastAsia="仿宋" w:cs="仿宋"/>
          <w:b/>
          <w:color w:val="auto"/>
          <w:sz w:val="22"/>
          <w:szCs w:val="24"/>
        </w:rPr>
      </w:pPr>
      <w:bookmarkStart w:id="736" w:name="_Toc351203651"/>
      <w:r>
        <w:rPr>
          <w:rFonts w:hint="eastAsia" w:ascii="仿宋" w:hAnsi="仿宋" w:eastAsia="仿宋" w:cs="仿宋"/>
          <w:b/>
          <w:color w:val="auto"/>
          <w:sz w:val="22"/>
          <w:szCs w:val="24"/>
        </w:rPr>
        <w:t>19. 争议解决</w:t>
      </w:r>
      <w:bookmarkEnd w:id="736"/>
    </w:p>
    <w:bookmarkEnd w:id="721"/>
    <w:bookmarkEnd w:id="722"/>
    <w:p w14:paraId="796C02EB">
      <w:pPr>
        <w:adjustRightInd w:val="0"/>
        <w:snapToGrid w:val="0"/>
        <w:spacing w:line="360" w:lineRule="auto"/>
        <w:jc w:val="left"/>
        <w:rPr>
          <w:rFonts w:hint="eastAsia" w:ascii="仿宋" w:hAnsi="仿宋" w:eastAsia="仿宋" w:cs="仿宋"/>
          <w:sz w:val="22"/>
        </w:rPr>
      </w:pPr>
      <w:r>
        <w:rPr>
          <w:rFonts w:hint="eastAsia" w:ascii="仿宋" w:hAnsi="仿宋" w:eastAsia="仿宋" w:cs="仿宋"/>
          <w:sz w:val="22"/>
        </w:rPr>
        <w:t xml:space="preserve">   19.3 争</w:t>
      </w:r>
      <w:bookmarkEnd w:id="723"/>
      <w:r>
        <w:rPr>
          <w:rFonts w:hint="eastAsia" w:ascii="仿宋" w:hAnsi="仿宋" w:eastAsia="仿宋" w:cs="仿宋"/>
          <w:sz w:val="22"/>
        </w:rPr>
        <w:t>议评审</w:t>
      </w:r>
    </w:p>
    <w:p w14:paraId="3FB8FB77">
      <w:pPr>
        <w:adjustRightInd w:val="0"/>
        <w:snapToGrid w:val="0"/>
        <w:spacing w:line="360" w:lineRule="auto"/>
        <w:ind w:firstLine="330" w:firstLineChars="150"/>
        <w:jc w:val="left"/>
        <w:rPr>
          <w:rFonts w:hint="eastAsia" w:ascii="仿宋" w:hAnsi="仿宋" w:eastAsia="仿宋" w:cs="仿宋"/>
          <w:sz w:val="22"/>
        </w:rPr>
      </w:pPr>
      <w:r>
        <w:rPr>
          <w:rFonts w:hint="eastAsia" w:ascii="仿宋" w:hAnsi="仿宋" w:eastAsia="仿宋" w:cs="仿宋"/>
          <w:sz w:val="22"/>
        </w:rPr>
        <w:t xml:space="preserve"> 合同当事人是否书面同意将工程争议提交争议评审小组决定：</w:t>
      </w:r>
      <w:r>
        <w:rPr>
          <w:rFonts w:hint="eastAsia" w:ascii="仿宋" w:hAnsi="仿宋" w:eastAsia="仿宋" w:cs="仿宋"/>
          <w:sz w:val="22"/>
          <w:u w:val="single"/>
        </w:rPr>
        <w:t xml:space="preserve"> 不采用 </w:t>
      </w:r>
      <w:r>
        <w:rPr>
          <w:rFonts w:hint="eastAsia" w:ascii="仿宋" w:hAnsi="仿宋" w:eastAsia="仿宋" w:cs="仿宋"/>
          <w:sz w:val="22"/>
        </w:rPr>
        <w:t xml:space="preserve">。  </w:t>
      </w:r>
    </w:p>
    <w:p w14:paraId="3693D514">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19.3.1 争议评审小组的确定</w:t>
      </w:r>
    </w:p>
    <w:p w14:paraId="606239BA">
      <w:pPr>
        <w:adjustRightInd w:val="0"/>
        <w:snapToGrid w:val="0"/>
        <w:spacing w:line="360" w:lineRule="auto"/>
        <w:ind w:firstLine="440" w:firstLineChars="200"/>
        <w:jc w:val="left"/>
        <w:rPr>
          <w:rFonts w:hint="eastAsia" w:ascii="仿宋" w:hAnsi="仿宋" w:eastAsia="仿宋" w:cs="仿宋"/>
          <w:sz w:val="22"/>
          <w:u w:val="single"/>
        </w:rPr>
      </w:pPr>
      <w:r>
        <w:rPr>
          <w:rFonts w:hint="eastAsia" w:ascii="仿宋" w:hAnsi="仿宋" w:eastAsia="仿宋" w:cs="仿宋"/>
          <w:sz w:val="22"/>
        </w:rPr>
        <w:t>争议评审小组成员的确定：</w:t>
      </w:r>
      <w:r>
        <w:rPr>
          <w:rFonts w:hint="eastAsia" w:ascii="仿宋" w:hAnsi="仿宋" w:eastAsia="仿宋" w:cs="仿宋"/>
          <w:sz w:val="22"/>
          <w:u w:val="single"/>
        </w:rPr>
        <w:t xml:space="preserve">    无  </w:t>
      </w:r>
      <w:r>
        <w:rPr>
          <w:rFonts w:hint="eastAsia" w:ascii="仿宋" w:hAnsi="仿宋" w:eastAsia="仿宋" w:cs="仿宋"/>
          <w:sz w:val="22"/>
        </w:rPr>
        <w:t>。</w:t>
      </w:r>
    </w:p>
    <w:p w14:paraId="334D9021">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选定争议评审员的期限：</w:t>
      </w:r>
      <w:r>
        <w:rPr>
          <w:rFonts w:hint="eastAsia" w:ascii="仿宋" w:hAnsi="仿宋" w:eastAsia="仿宋" w:cs="仿宋"/>
          <w:sz w:val="22"/>
          <w:u w:val="single"/>
        </w:rPr>
        <w:t xml:space="preserve">    无   </w:t>
      </w:r>
      <w:r>
        <w:rPr>
          <w:rFonts w:hint="eastAsia" w:ascii="仿宋" w:hAnsi="仿宋" w:eastAsia="仿宋" w:cs="仿宋"/>
          <w:sz w:val="22"/>
        </w:rPr>
        <w:t>。</w:t>
      </w:r>
    </w:p>
    <w:p w14:paraId="419F099F">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争议评审小组成员的报酬承担方式：</w:t>
      </w:r>
      <w:r>
        <w:rPr>
          <w:rFonts w:hint="eastAsia" w:ascii="仿宋" w:hAnsi="仿宋" w:eastAsia="仿宋" w:cs="仿宋"/>
          <w:sz w:val="22"/>
          <w:u w:val="single"/>
        </w:rPr>
        <w:t xml:space="preserve">  无  </w:t>
      </w:r>
      <w:r>
        <w:rPr>
          <w:rFonts w:hint="eastAsia" w:ascii="仿宋" w:hAnsi="仿宋" w:eastAsia="仿宋" w:cs="仿宋"/>
          <w:sz w:val="22"/>
        </w:rPr>
        <w:t>。</w:t>
      </w:r>
    </w:p>
    <w:p w14:paraId="0D40E51E">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其他事项的约定：</w:t>
      </w:r>
      <w:r>
        <w:rPr>
          <w:rFonts w:hint="eastAsia" w:ascii="仿宋" w:hAnsi="仿宋" w:eastAsia="仿宋" w:cs="仿宋"/>
          <w:sz w:val="22"/>
          <w:u w:val="single"/>
        </w:rPr>
        <w:t xml:space="preserve">    无     </w:t>
      </w:r>
      <w:r>
        <w:rPr>
          <w:rFonts w:hint="eastAsia" w:ascii="仿宋" w:hAnsi="仿宋" w:eastAsia="仿宋" w:cs="仿宋"/>
          <w:sz w:val="22"/>
        </w:rPr>
        <w:t>。</w:t>
      </w:r>
    </w:p>
    <w:p w14:paraId="0DA266E6">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19.3.2 争议评审小组的决定</w:t>
      </w:r>
    </w:p>
    <w:p w14:paraId="2A524578">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合同当事人关于本项的约定：</w:t>
      </w:r>
      <w:r>
        <w:rPr>
          <w:rFonts w:hint="eastAsia" w:ascii="仿宋" w:hAnsi="仿宋" w:eastAsia="仿宋" w:cs="仿宋"/>
          <w:sz w:val="22"/>
          <w:u w:val="single"/>
        </w:rPr>
        <w:t xml:space="preserve">   无   </w:t>
      </w:r>
      <w:r>
        <w:rPr>
          <w:rFonts w:hint="eastAsia" w:ascii="仿宋" w:hAnsi="仿宋" w:eastAsia="仿宋" w:cs="仿宋"/>
          <w:sz w:val="22"/>
        </w:rPr>
        <w:t>。</w:t>
      </w:r>
    </w:p>
    <w:p w14:paraId="313FE41C">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19.4仲裁或诉讼</w:t>
      </w:r>
      <w:bookmarkEnd w:id="724"/>
    </w:p>
    <w:p w14:paraId="7B1EE600">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因合同及合同有关事项发生的争议，按下列第</w:t>
      </w:r>
      <w:r>
        <w:rPr>
          <w:rFonts w:hint="eastAsia" w:ascii="仿宋" w:hAnsi="仿宋" w:eastAsia="仿宋" w:cs="仿宋"/>
          <w:sz w:val="22"/>
          <w:u w:val="single"/>
        </w:rPr>
        <w:t xml:space="preserve">  2 </w:t>
      </w:r>
      <w:r>
        <w:rPr>
          <w:rFonts w:hint="eastAsia" w:ascii="仿宋" w:hAnsi="仿宋" w:eastAsia="仿宋" w:cs="仿宋"/>
          <w:sz w:val="22"/>
        </w:rPr>
        <w:t>种方式解决：</w:t>
      </w:r>
    </w:p>
    <w:p w14:paraId="6B6A9A6A">
      <w:pPr>
        <w:adjustRightInd w:val="0"/>
        <w:snapToGrid w:val="0"/>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（1）向</w:t>
      </w:r>
      <w:r>
        <w:rPr>
          <w:rFonts w:hint="eastAsia" w:ascii="仿宋" w:hAnsi="仿宋" w:eastAsia="仿宋" w:cs="仿宋"/>
          <w:sz w:val="22"/>
          <w:u w:val="single"/>
        </w:rPr>
        <w:t xml:space="preserve">        /           </w:t>
      </w:r>
      <w:r>
        <w:rPr>
          <w:rFonts w:hint="eastAsia" w:ascii="仿宋" w:hAnsi="仿宋" w:eastAsia="仿宋" w:cs="仿宋"/>
          <w:sz w:val="22"/>
        </w:rPr>
        <w:t>仲裁委员会申请仲裁；</w:t>
      </w:r>
    </w:p>
    <w:p w14:paraId="73B2BDA1">
      <w:pPr>
        <w:pStyle w:val="22"/>
        <w:ind w:firstLine="440" w:firstLineChars="200"/>
        <w:jc w:val="left"/>
        <w:rPr>
          <w:rFonts w:hint="eastAsia" w:ascii="仿宋" w:hAnsi="仿宋" w:eastAsia="仿宋" w:cs="仿宋"/>
          <w:sz w:val="22"/>
          <w:szCs w:val="24"/>
        </w:rPr>
      </w:pPr>
      <w:r>
        <w:rPr>
          <w:rFonts w:hint="eastAsia" w:ascii="仿宋" w:hAnsi="仿宋" w:eastAsia="仿宋" w:cs="仿宋"/>
          <w:sz w:val="22"/>
          <w:szCs w:val="24"/>
        </w:rPr>
        <w:t>（2）向</w:t>
      </w:r>
      <w:r>
        <w:rPr>
          <w:rFonts w:hint="eastAsia" w:ascii="仿宋" w:hAnsi="仿宋" w:eastAsia="仿宋" w:cs="仿宋"/>
          <w:sz w:val="22"/>
          <w:szCs w:val="24"/>
          <w:u w:val="single"/>
        </w:rPr>
        <w:t xml:space="preserve">  工程所在地 </w:t>
      </w:r>
      <w:r>
        <w:rPr>
          <w:rFonts w:hint="eastAsia" w:ascii="仿宋" w:hAnsi="仿宋" w:eastAsia="仿宋" w:cs="仿宋"/>
          <w:sz w:val="22"/>
          <w:szCs w:val="24"/>
        </w:rPr>
        <w:t>人民法院起诉。</w:t>
      </w:r>
      <w:bookmarkEnd w:id="725"/>
      <w:bookmarkEnd w:id="726"/>
      <w:bookmarkEnd w:id="727"/>
      <w:bookmarkEnd w:id="728"/>
      <w:bookmarkEnd w:id="729"/>
      <w:bookmarkEnd w:id="730"/>
    </w:p>
    <w:p w14:paraId="754E74D6">
      <w:pPr>
        <w:pStyle w:val="22"/>
        <w:jc w:val="left"/>
        <w:rPr>
          <w:rFonts w:hint="eastAsia" w:ascii="仿宋" w:hAnsi="仿宋" w:eastAsia="仿宋" w:cs="仿宋"/>
          <w:sz w:val="20"/>
        </w:rPr>
      </w:pPr>
    </w:p>
    <w:p w14:paraId="6D5F025A">
      <w:pPr>
        <w:pStyle w:val="22"/>
        <w:jc w:val="left"/>
        <w:rPr>
          <w:rFonts w:hint="eastAsia" w:ascii="仿宋" w:hAnsi="仿宋" w:eastAsia="仿宋" w:cs="仿宋"/>
          <w:sz w:val="20"/>
        </w:rPr>
      </w:pPr>
    </w:p>
    <w:p w14:paraId="60B110AF">
      <w:pPr>
        <w:pStyle w:val="22"/>
        <w:jc w:val="left"/>
        <w:rPr>
          <w:rFonts w:hint="eastAsia" w:ascii="仿宋" w:hAnsi="仿宋" w:eastAsia="仿宋" w:cs="仿宋"/>
          <w:sz w:val="20"/>
        </w:rPr>
      </w:pPr>
    </w:p>
    <w:p w14:paraId="5C1B06F8">
      <w:pPr>
        <w:pStyle w:val="22"/>
        <w:jc w:val="left"/>
        <w:rPr>
          <w:rFonts w:hint="eastAsia" w:ascii="仿宋" w:hAnsi="仿宋" w:eastAsia="仿宋" w:cs="仿宋"/>
          <w:sz w:val="20"/>
        </w:rPr>
      </w:pPr>
    </w:p>
    <w:p w14:paraId="26EF3572">
      <w:pPr>
        <w:pStyle w:val="22"/>
        <w:jc w:val="left"/>
        <w:rPr>
          <w:rFonts w:hint="eastAsia" w:ascii="仿宋" w:hAnsi="仿宋" w:eastAsia="仿宋" w:cs="仿宋"/>
          <w:sz w:val="20"/>
        </w:rPr>
      </w:pPr>
    </w:p>
    <w:p w14:paraId="1CFA83F1">
      <w:pPr>
        <w:pStyle w:val="22"/>
        <w:jc w:val="left"/>
        <w:rPr>
          <w:rFonts w:hint="eastAsia" w:ascii="仿宋" w:hAnsi="仿宋" w:eastAsia="仿宋" w:cs="仿宋"/>
          <w:sz w:val="20"/>
        </w:rPr>
      </w:pPr>
    </w:p>
    <w:p w14:paraId="3022AD92">
      <w:pPr>
        <w:pStyle w:val="22"/>
        <w:jc w:val="left"/>
        <w:rPr>
          <w:rFonts w:hint="eastAsia" w:ascii="仿宋" w:hAnsi="仿宋" w:eastAsia="仿宋" w:cs="仿宋"/>
          <w:sz w:val="20"/>
        </w:rPr>
      </w:pPr>
    </w:p>
    <w:p w14:paraId="15FEF48D">
      <w:pPr>
        <w:pStyle w:val="22"/>
        <w:jc w:val="left"/>
        <w:rPr>
          <w:rFonts w:hint="eastAsia" w:ascii="仿宋" w:hAnsi="仿宋" w:eastAsia="仿宋" w:cs="仿宋"/>
          <w:sz w:val="20"/>
        </w:rPr>
      </w:pPr>
    </w:p>
    <w:p w14:paraId="09ADE083">
      <w:pPr>
        <w:pStyle w:val="22"/>
        <w:jc w:val="left"/>
        <w:rPr>
          <w:rFonts w:hint="eastAsia" w:ascii="仿宋" w:hAnsi="仿宋" w:eastAsia="仿宋" w:cs="仿宋"/>
          <w:sz w:val="20"/>
        </w:rPr>
      </w:pPr>
    </w:p>
    <w:p w14:paraId="57D8BB4C">
      <w:pPr>
        <w:pStyle w:val="22"/>
        <w:jc w:val="left"/>
        <w:rPr>
          <w:rFonts w:hint="eastAsia" w:ascii="仿宋" w:hAnsi="仿宋" w:eastAsia="仿宋" w:cs="仿宋"/>
          <w:sz w:val="20"/>
        </w:rPr>
      </w:pPr>
    </w:p>
    <w:p w14:paraId="0FCBE011">
      <w:pPr>
        <w:pStyle w:val="22"/>
        <w:jc w:val="left"/>
        <w:rPr>
          <w:rFonts w:hint="eastAsia" w:ascii="仿宋" w:hAnsi="仿宋" w:eastAsia="仿宋" w:cs="仿宋"/>
          <w:sz w:val="20"/>
        </w:rPr>
      </w:pPr>
    </w:p>
    <w:p w14:paraId="420332BB">
      <w:pPr>
        <w:pStyle w:val="22"/>
        <w:jc w:val="left"/>
        <w:rPr>
          <w:rFonts w:hint="eastAsia" w:ascii="仿宋" w:hAnsi="仿宋" w:eastAsia="仿宋" w:cs="仿宋"/>
          <w:sz w:val="20"/>
        </w:rPr>
      </w:pPr>
    </w:p>
    <w:p w14:paraId="0A053189">
      <w:pPr>
        <w:pStyle w:val="22"/>
        <w:jc w:val="left"/>
        <w:rPr>
          <w:rFonts w:hint="eastAsia" w:ascii="仿宋" w:hAnsi="仿宋" w:eastAsia="仿宋" w:cs="仿宋"/>
          <w:sz w:val="20"/>
        </w:rPr>
      </w:pPr>
    </w:p>
    <w:p w14:paraId="2611773C">
      <w:pPr>
        <w:pStyle w:val="22"/>
        <w:jc w:val="left"/>
        <w:rPr>
          <w:rFonts w:hint="eastAsia" w:ascii="仿宋" w:hAnsi="仿宋" w:eastAsia="仿宋" w:cs="仿宋"/>
          <w:sz w:val="20"/>
        </w:rPr>
      </w:pPr>
    </w:p>
    <w:p w14:paraId="3EC6E8F6">
      <w:pPr>
        <w:pStyle w:val="22"/>
        <w:jc w:val="left"/>
        <w:rPr>
          <w:rFonts w:hint="eastAsia" w:ascii="仿宋" w:hAnsi="仿宋" w:eastAsia="仿宋" w:cs="仿宋"/>
          <w:sz w:val="20"/>
        </w:rPr>
      </w:pPr>
    </w:p>
    <w:p w14:paraId="16A03E80">
      <w:pPr>
        <w:pStyle w:val="22"/>
        <w:jc w:val="left"/>
        <w:rPr>
          <w:rFonts w:hint="eastAsia" w:ascii="仿宋" w:hAnsi="仿宋" w:eastAsia="仿宋" w:cs="仿宋"/>
          <w:sz w:val="20"/>
        </w:rPr>
      </w:pPr>
    </w:p>
    <w:p w14:paraId="070E191D">
      <w:pPr>
        <w:pStyle w:val="22"/>
        <w:jc w:val="left"/>
        <w:rPr>
          <w:rFonts w:hint="eastAsia" w:ascii="仿宋" w:hAnsi="仿宋" w:eastAsia="仿宋" w:cs="仿宋"/>
          <w:sz w:val="20"/>
        </w:rPr>
      </w:pPr>
    </w:p>
    <w:p w14:paraId="11FA7CDA">
      <w:pPr>
        <w:pStyle w:val="22"/>
        <w:jc w:val="left"/>
        <w:rPr>
          <w:rFonts w:hint="eastAsia" w:ascii="仿宋" w:hAnsi="仿宋" w:eastAsia="仿宋" w:cs="仿宋"/>
          <w:sz w:val="20"/>
        </w:rPr>
      </w:pPr>
    </w:p>
    <w:p w14:paraId="4543205D">
      <w:pPr>
        <w:pStyle w:val="22"/>
        <w:jc w:val="left"/>
        <w:rPr>
          <w:rFonts w:hint="eastAsia" w:ascii="仿宋" w:hAnsi="仿宋" w:eastAsia="仿宋" w:cs="仿宋"/>
          <w:sz w:val="20"/>
        </w:rPr>
      </w:pPr>
    </w:p>
    <w:p w14:paraId="3EDEA73A">
      <w:pPr>
        <w:pStyle w:val="22"/>
        <w:jc w:val="left"/>
        <w:rPr>
          <w:rFonts w:hint="eastAsia" w:ascii="仿宋" w:hAnsi="仿宋" w:eastAsia="仿宋" w:cs="仿宋"/>
          <w:sz w:val="20"/>
        </w:rPr>
      </w:pPr>
    </w:p>
    <w:p w14:paraId="7BD47ABA">
      <w:pPr>
        <w:pStyle w:val="22"/>
        <w:jc w:val="left"/>
        <w:rPr>
          <w:rFonts w:hint="eastAsia" w:ascii="仿宋" w:hAnsi="仿宋" w:eastAsia="仿宋" w:cs="仿宋"/>
          <w:sz w:val="20"/>
        </w:rPr>
      </w:pPr>
    </w:p>
    <w:p w14:paraId="271D5506">
      <w:pPr>
        <w:pStyle w:val="22"/>
        <w:jc w:val="left"/>
        <w:rPr>
          <w:rFonts w:hint="eastAsia" w:ascii="仿宋" w:hAnsi="仿宋" w:eastAsia="仿宋" w:cs="仿宋"/>
          <w:sz w:val="20"/>
        </w:rPr>
      </w:pPr>
    </w:p>
    <w:p w14:paraId="40F93E23">
      <w:pPr>
        <w:pStyle w:val="22"/>
        <w:jc w:val="left"/>
        <w:rPr>
          <w:rFonts w:hint="eastAsia" w:ascii="仿宋" w:hAnsi="仿宋" w:eastAsia="仿宋" w:cs="仿宋"/>
          <w:sz w:val="20"/>
        </w:rPr>
      </w:pPr>
    </w:p>
    <w:p w14:paraId="68A86029">
      <w:pPr>
        <w:pStyle w:val="22"/>
        <w:jc w:val="left"/>
        <w:rPr>
          <w:rFonts w:hint="eastAsia" w:ascii="仿宋" w:hAnsi="仿宋" w:eastAsia="仿宋" w:cs="仿宋"/>
          <w:sz w:val="20"/>
        </w:rPr>
      </w:pPr>
    </w:p>
    <w:p w14:paraId="621812F4">
      <w:pPr>
        <w:pStyle w:val="22"/>
        <w:jc w:val="left"/>
        <w:rPr>
          <w:rFonts w:hint="eastAsia" w:ascii="仿宋" w:hAnsi="仿宋" w:eastAsia="仿宋" w:cs="仿宋"/>
          <w:sz w:val="20"/>
        </w:rPr>
      </w:pPr>
    </w:p>
    <w:p w14:paraId="0B943220">
      <w:pPr>
        <w:pStyle w:val="22"/>
        <w:jc w:val="left"/>
        <w:rPr>
          <w:rFonts w:hint="eastAsia" w:ascii="仿宋" w:hAnsi="仿宋" w:eastAsia="仿宋" w:cs="仿宋"/>
          <w:sz w:val="20"/>
        </w:rPr>
      </w:pPr>
    </w:p>
    <w:p w14:paraId="56A24697">
      <w:pPr>
        <w:pStyle w:val="22"/>
        <w:jc w:val="left"/>
        <w:rPr>
          <w:rFonts w:hint="eastAsia" w:ascii="仿宋" w:hAnsi="仿宋" w:eastAsia="仿宋" w:cs="仿宋"/>
          <w:sz w:val="20"/>
        </w:rPr>
      </w:pPr>
    </w:p>
    <w:p w14:paraId="4C3478AF">
      <w:pPr>
        <w:pStyle w:val="22"/>
        <w:jc w:val="left"/>
        <w:rPr>
          <w:rFonts w:hint="eastAsia" w:ascii="仿宋" w:hAnsi="仿宋" w:eastAsia="仿宋" w:cs="仿宋"/>
          <w:sz w:val="20"/>
        </w:rPr>
      </w:pPr>
    </w:p>
    <w:p w14:paraId="5F4F6EA7">
      <w:pPr>
        <w:pStyle w:val="22"/>
        <w:jc w:val="left"/>
        <w:rPr>
          <w:rFonts w:hint="eastAsia" w:ascii="仿宋" w:hAnsi="仿宋" w:eastAsia="仿宋" w:cs="仿宋"/>
          <w:sz w:val="20"/>
        </w:rPr>
      </w:pPr>
    </w:p>
    <w:p w14:paraId="24065BC5">
      <w:pPr>
        <w:pStyle w:val="22"/>
        <w:jc w:val="left"/>
        <w:rPr>
          <w:rFonts w:hint="eastAsia" w:ascii="仿宋" w:hAnsi="仿宋" w:eastAsia="仿宋" w:cs="仿宋"/>
          <w:sz w:val="20"/>
        </w:rPr>
      </w:pPr>
    </w:p>
    <w:p w14:paraId="1F71A3DD">
      <w:pPr>
        <w:pStyle w:val="22"/>
        <w:jc w:val="left"/>
        <w:rPr>
          <w:rFonts w:hint="eastAsia" w:ascii="仿宋" w:hAnsi="仿宋" w:eastAsia="仿宋" w:cs="仿宋"/>
          <w:sz w:val="20"/>
        </w:rPr>
      </w:pPr>
    </w:p>
    <w:p w14:paraId="7F869768">
      <w:pPr>
        <w:pStyle w:val="22"/>
        <w:jc w:val="left"/>
        <w:rPr>
          <w:rFonts w:hint="eastAsia" w:ascii="仿宋" w:hAnsi="仿宋" w:eastAsia="仿宋" w:cs="仿宋"/>
          <w:sz w:val="20"/>
        </w:rPr>
      </w:pPr>
    </w:p>
    <w:p w14:paraId="5941EC39">
      <w:pPr>
        <w:pStyle w:val="22"/>
        <w:jc w:val="left"/>
        <w:rPr>
          <w:rFonts w:hint="eastAsia" w:ascii="仿宋" w:hAnsi="仿宋" w:eastAsia="仿宋" w:cs="仿宋"/>
          <w:sz w:val="20"/>
        </w:rPr>
      </w:pPr>
    </w:p>
    <w:p w14:paraId="72FF898E">
      <w:pPr>
        <w:pStyle w:val="22"/>
        <w:jc w:val="left"/>
        <w:rPr>
          <w:rFonts w:hint="eastAsia" w:ascii="仿宋" w:hAnsi="仿宋" w:eastAsia="仿宋" w:cs="仿宋"/>
          <w:sz w:val="20"/>
        </w:rPr>
      </w:pPr>
    </w:p>
    <w:p w14:paraId="342A7300">
      <w:pPr>
        <w:pStyle w:val="22"/>
        <w:jc w:val="left"/>
        <w:rPr>
          <w:rFonts w:hint="eastAsia" w:ascii="仿宋" w:hAnsi="仿宋" w:eastAsia="仿宋" w:cs="仿宋"/>
          <w:sz w:val="20"/>
        </w:rPr>
      </w:pPr>
    </w:p>
    <w:p w14:paraId="6D88E976">
      <w:pPr>
        <w:pStyle w:val="22"/>
        <w:jc w:val="left"/>
        <w:rPr>
          <w:rFonts w:hint="eastAsia" w:ascii="仿宋" w:hAnsi="仿宋" w:eastAsia="仿宋" w:cs="仿宋"/>
          <w:sz w:val="20"/>
        </w:rPr>
      </w:pPr>
    </w:p>
    <w:p w14:paraId="6AB6961F">
      <w:pPr>
        <w:pStyle w:val="22"/>
        <w:jc w:val="left"/>
        <w:rPr>
          <w:rFonts w:hint="eastAsia" w:ascii="仿宋" w:hAnsi="仿宋" w:eastAsia="仿宋" w:cs="仿宋"/>
          <w:sz w:val="20"/>
        </w:rPr>
      </w:pPr>
    </w:p>
    <w:p w14:paraId="5DE531AC">
      <w:pPr>
        <w:spacing w:line="440" w:lineRule="exact"/>
        <w:jc w:val="left"/>
        <w:rPr>
          <w:rFonts w:hint="eastAsia" w:ascii="仿宋" w:hAnsi="仿宋" w:eastAsia="仿宋" w:cs="仿宋"/>
          <w:b/>
          <w:bCs/>
          <w:sz w:val="28"/>
          <w:szCs w:val="30"/>
        </w:rPr>
      </w:pPr>
      <w:r>
        <w:rPr>
          <w:rFonts w:hint="eastAsia" w:ascii="仿宋" w:hAnsi="仿宋" w:eastAsia="仿宋" w:cs="仿宋"/>
          <w:b/>
          <w:bCs/>
          <w:sz w:val="28"/>
          <w:szCs w:val="30"/>
        </w:rPr>
        <w:t xml:space="preserve">附件1  </w:t>
      </w:r>
    </w:p>
    <w:p w14:paraId="3CAF7E1C">
      <w:pPr>
        <w:spacing w:before="120" w:beforeLines="50" w:after="120" w:afterLines="50" w:line="440" w:lineRule="exact"/>
        <w:jc w:val="center"/>
        <w:rPr>
          <w:rFonts w:hint="eastAsia" w:ascii="仿宋" w:hAnsi="仿宋" w:eastAsia="仿宋" w:cs="仿宋"/>
          <w:b/>
          <w:bCs/>
          <w:sz w:val="28"/>
          <w:szCs w:val="30"/>
        </w:rPr>
      </w:pPr>
      <w:r>
        <w:rPr>
          <w:rFonts w:hint="eastAsia" w:ascii="仿宋" w:hAnsi="仿宋" w:eastAsia="仿宋" w:cs="仿宋"/>
          <w:b/>
          <w:bCs/>
          <w:sz w:val="28"/>
          <w:szCs w:val="30"/>
        </w:rPr>
        <w:t>工程质量保修书</w:t>
      </w:r>
    </w:p>
    <w:p w14:paraId="3385BDDB">
      <w:pPr>
        <w:spacing w:line="440" w:lineRule="exact"/>
        <w:ind w:firstLine="440" w:firstLineChars="200"/>
        <w:jc w:val="left"/>
        <w:rPr>
          <w:rFonts w:hint="eastAsia" w:ascii="仿宋" w:hAnsi="仿宋" w:eastAsia="仿宋" w:cs="仿宋"/>
          <w:sz w:val="22"/>
        </w:rPr>
      </w:pPr>
      <w:r>
        <w:rPr>
          <w:rFonts w:hint="eastAsia" w:ascii="仿宋" w:hAnsi="仿宋" w:eastAsia="仿宋" w:cs="仿宋"/>
          <w:sz w:val="22"/>
        </w:rPr>
        <w:t>发包人（全称）：</w:t>
      </w:r>
      <w:r>
        <w:rPr>
          <w:rFonts w:hint="eastAsia" w:ascii="仿宋" w:hAnsi="仿宋" w:eastAsia="仿宋" w:cs="仿宋"/>
          <w:color w:val="000000"/>
          <w:sz w:val="22"/>
          <w:szCs w:val="22"/>
          <w:u w:val="single"/>
          <w:lang w:val="zh-CN" w:bidi="zh-CN"/>
        </w:rPr>
        <w:t>南京审计大学金审学院</w:t>
      </w:r>
      <w:r>
        <w:rPr>
          <w:rFonts w:hint="eastAsia" w:ascii="仿宋" w:hAnsi="仿宋" w:eastAsia="仿宋" w:cs="仿宋"/>
          <w:sz w:val="22"/>
          <w:u w:val="single"/>
        </w:rPr>
        <w:t xml:space="preserve"> </w:t>
      </w:r>
    </w:p>
    <w:p w14:paraId="2CD1518D">
      <w:pPr>
        <w:spacing w:line="440" w:lineRule="exact"/>
        <w:jc w:val="left"/>
        <w:rPr>
          <w:rFonts w:hint="eastAsia" w:ascii="仿宋" w:hAnsi="仿宋" w:eastAsia="仿宋" w:cs="仿宋"/>
          <w:sz w:val="22"/>
        </w:rPr>
      </w:pPr>
      <w:r>
        <w:rPr>
          <w:rFonts w:hint="eastAsia" w:ascii="仿宋" w:hAnsi="仿宋" w:eastAsia="仿宋" w:cs="仿宋"/>
          <w:sz w:val="22"/>
        </w:rPr>
        <w:t>　　承包人（全称）：</w:t>
      </w:r>
      <w:r>
        <w:rPr>
          <w:rFonts w:hint="eastAsia" w:ascii="仿宋" w:hAnsi="仿宋" w:eastAsia="仿宋" w:cs="仿宋"/>
          <w:sz w:val="22"/>
          <w:u w:val="single"/>
        </w:rPr>
        <w:t xml:space="preserve">                                       </w:t>
      </w:r>
    </w:p>
    <w:p w14:paraId="753263A3">
      <w:pPr>
        <w:spacing w:line="440" w:lineRule="exact"/>
        <w:jc w:val="left"/>
        <w:rPr>
          <w:rFonts w:hint="eastAsia" w:ascii="仿宋" w:hAnsi="仿宋" w:eastAsia="仿宋" w:cs="仿宋"/>
          <w:sz w:val="22"/>
        </w:rPr>
      </w:pPr>
      <w:r>
        <w:rPr>
          <w:rFonts w:hint="eastAsia" w:ascii="仿宋" w:hAnsi="仿宋" w:eastAsia="仿宋" w:cs="仿宋"/>
          <w:sz w:val="22"/>
        </w:rPr>
        <w:t xml:space="preserve">  </w:t>
      </w:r>
    </w:p>
    <w:p w14:paraId="2925671E">
      <w:pPr>
        <w:spacing w:line="360" w:lineRule="auto"/>
        <w:jc w:val="left"/>
        <w:rPr>
          <w:rFonts w:hint="eastAsia" w:ascii="仿宋" w:hAnsi="仿宋" w:eastAsia="仿宋" w:cs="仿宋"/>
          <w:sz w:val="22"/>
        </w:rPr>
      </w:pPr>
      <w:r>
        <w:rPr>
          <w:rFonts w:hint="eastAsia" w:ascii="仿宋" w:hAnsi="仿宋" w:eastAsia="仿宋" w:cs="仿宋"/>
          <w:sz w:val="22"/>
        </w:rPr>
        <w:t>　　发包人和承包人根据《中华人民共和国建筑法》和《建设工程质量管理条例》，经协商一致就</w:t>
      </w:r>
      <w:r>
        <w:rPr>
          <w:rFonts w:hint="eastAsia" w:ascii="仿宋" w:hAnsi="仿宋" w:eastAsia="仿宋" w:cs="仿宋"/>
          <w:sz w:val="22"/>
          <w:u w:val="single"/>
        </w:rPr>
        <w:t xml:space="preserve">                                 </w:t>
      </w:r>
      <w:r>
        <w:rPr>
          <w:rFonts w:hint="eastAsia" w:ascii="仿宋" w:hAnsi="仿宋" w:eastAsia="仿宋" w:cs="仿宋"/>
          <w:sz w:val="22"/>
        </w:rPr>
        <w:t>（工程全称）签订工程质量保修书。</w:t>
      </w:r>
    </w:p>
    <w:p w14:paraId="1AF1A9F7">
      <w:pPr>
        <w:spacing w:line="360" w:lineRule="auto"/>
        <w:jc w:val="left"/>
        <w:rPr>
          <w:rFonts w:hint="eastAsia" w:ascii="仿宋" w:hAnsi="仿宋" w:eastAsia="仿宋" w:cs="仿宋"/>
          <w:sz w:val="22"/>
        </w:rPr>
      </w:pPr>
      <w:r>
        <w:rPr>
          <w:rFonts w:hint="eastAsia" w:ascii="仿宋" w:hAnsi="仿宋" w:eastAsia="仿宋" w:cs="仿宋"/>
          <w:sz w:val="22"/>
        </w:rPr>
        <w:t>　　一、工程质量保修范围和内容</w:t>
      </w:r>
    </w:p>
    <w:p w14:paraId="441227D2">
      <w:pPr>
        <w:spacing w:line="360" w:lineRule="auto"/>
        <w:jc w:val="left"/>
        <w:rPr>
          <w:rFonts w:hint="eastAsia" w:ascii="仿宋" w:hAnsi="仿宋" w:eastAsia="仿宋" w:cs="仿宋"/>
          <w:sz w:val="22"/>
        </w:rPr>
      </w:pPr>
      <w:r>
        <w:rPr>
          <w:rFonts w:hint="eastAsia" w:ascii="仿宋" w:hAnsi="仿宋" w:eastAsia="仿宋" w:cs="仿宋"/>
          <w:sz w:val="22"/>
        </w:rPr>
        <w:t>　　承包人在质量保修期内，按照有关法律规定和合同约定，承担工程质量保修责任。</w:t>
      </w:r>
    </w:p>
    <w:p w14:paraId="078E7AE2">
      <w:pPr>
        <w:spacing w:line="360" w:lineRule="auto"/>
        <w:jc w:val="left"/>
        <w:rPr>
          <w:rFonts w:hint="eastAsia" w:ascii="仿宋" w:hAnsi="仿宋" w:eastAsia="仿宋" w:cs="仿宋"/>
          <w:sz w:val="22"/>
        </w:rPr>
      </w:pPr>
      <w:r>
        <w:rPr>
          <w:rFonts w:hint="eastAsia" w:ascii="仿宋" w:hAnsi="仿宋" w:eastAsia="仿宋" w:cs="仿宋"/>
          <w:sz w:val="22"/>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szCs w:val="21"/>
          <w:u w:val="single"/>
        </w:rPr>
        <w:t>南京审计大学金审学院西门快递驿站工程项目</w:t>
      </w:r>
      <w:r>
        <w:rPr>
          <w:rFonts w:hint="eastAsia" w:ascii="仿宋" w:hAnsi="仿宋" w:eastAsia="仿宋" w:cs="仿宋"/>
          <w:sz w:val="22"/>
        </w:rPr>
        <w:t>。</w:t>
      </w:r>
    </w:p>
    <w:p w14:paraId="000CF08B">
      <w:pPr>
        <w:spacing w:line="360" w:lineRule="auto"/>
        <w:jc w:val="left"/>
        <w:rPr>
          <w:rFonts w:hint="eastAsia" w:ascii="仿宋" w:hAnsi="仿宋" w:eastAsia="仿宋" w:cs="仿宋"/>
          <w:sz w:val="22"/>
        </w:rPr>
      </w:pPr>
      <w:r>
        <w:rPr>
          <w:rFonts w:hint="eastAsia" w:ascii="仿宋" w:hAnsi="仿宋" w:eastAsia="仿宋" w:cs="仿宋"/>
          <w:b/>
          <w:sz w:val="22"/>
        </w:rPr>
        <w:t>　　</w:t>
      </w:r>
      <w:r>
        <w:rPr>
          <w:rFonts w:hint="eastAsia" w:ascii="仿宋" w:hAnsi="仿宋" w:eastAsia="仿宋" w:cs="仿宋"/>
          <w:sz w:val="22"/>
        </w:rPr>
        <w:t>二、质量保修期</w:t>
      </w:r>
    </w:p>
    <w:p w14:paraId="0B74C011">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根据《建设工程质量管理条例》及有关规定，工程的质量保修期如下：</w:t>
      </w:r>
    </w:p>
    <w:p w14:paraId="18F90F2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1．地基基础工程和主体结构工程为设计文件规定的工程合理使用年限；</w:t>
      </w:r>
    </w:p>
    <w:p w14:paraId="25C78E3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2．屋面防水工程、有防水要求的卫生间、房间和外墙面的防渗为</w:t>
      </w:r>
      <w:r>
        <w:rPr>
          <w:rFonts w:hint="eastAsia" w:ascii="仿宋" w:hAnsi="仿宋" w:eastAsia="仿宋" w:cs="仿宋"/>
          <w:sz w:val="22"/>
          <w:u w:val="single"/>
        </w:rPr>
        <w:t xml:space="preserve"> 5 </w:t>
      </w:r>
      <w:r>
        <w:rPr>
          <w:rFonts w:hint="eastAsia" w:ascii="仿宋" w:hAnsi="仿宋" w:eastAsia="仿宋" w:cs="仿宋"/>
          <w:sz w:val="22"/>
        </w:rPr>
        <w:t>年；</w:t>
      </w:r>
    </w:p>
    <w:p w14:paraId="73A811C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3．装修工程为</w:t>
      </w:r>
      <w:r>
        <w:rPr>
          <w:rFonts w:hint="eastAsia" w:ascii="仿宋" w:hAnsi="仿宋" w:eastAsia="仿宋" w:cs="仿宋"/>
          <w:sz w:val="22"/>
          <w:u w:val="single"/>
        </w:rPr>
        <w:t xml:space="preserve"> 3 </w:t>
      </w:r>
      <w:r>
        <w:rPr>
          <w:rFonts w:hint="eastAsia" w:ascii="仿宋" w:hAnsi="仿宋" w:eastAsia="仿宋" w:cs="仿宋"/>
          <w:sz w:val="22"/>
        </w:rPr>
        <w:t>年；</w:t>
      </w:r>
    </w:p>
    <w:p w14:paraId="11BF6E64">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4．电气管线、给排水管道、设备安装工程为</w:t>
      </w:r>
      <w:r>
        <w:rPr>
          <w:rFonts w:hint="eastAsia" w:ascii="仿宋" w:hAnsi="仿宋" w:eastAsia="仿宋" w:cs="仿宋"/>
          <w:sz w:val="22"/>
          <w:u w:val="single"/>
        </w:rPr>
        <w:t xml:space="preserve"> 3 </w:t>
      </w:r>
      <w:r>
        <w:rPr>
          <w:rFonts w:hint="eastAsia" w:ascii="仿宋" w:hAnsi="仿宋" w:eastAsia="仿宋" w:cs="仿宋"/>
          <w:sz w:val="22"/>
        </w:rPr>
        <w:t>年；</w:t>
      </w:r>
    </w:p>
    <w:p w14:paraId="77FABD7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5．供热与供冷系统为</w:t>
      </w:r>
      <w:r>
        <w:rPr>
          <w:rFonts w:hint="eastAsia" w:ascii="仿宋" w:hAnsi="仿宋" w:eastAsia="仿宋" w:cs="仿宋"/>
          <w:sz w:val="22"/>
          <w:u w:val="single"/>
        </w:rPr>
        <w:t xml:space="preserve">  3  </w:t>
      </w:r>
      <w:r>
        <w:rPr>
          <w:rFonts w:hint="eastAsia" w:ascii="仿宋" w:hAnsi="仿宋" w:eastAsia="仿宋" w:cs="仿宋"/>
          <w:sz w:val="22"/>
        </w:rPr>
        <w:t>个采暖期、供冷期；</w:t>
      </w:r>
    </w:p>
    <w:p w14:paraId="6943F8A3">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6．住宅小区内的给排水设施、道路等配套工程为</w:t>
      </w:r>
      <w:r>
        <w:rPr>
          <w:rFonts w:hint="eastAsia" w:ascii="仿宋" w:hAnsi="仿宋" w:eastAsia="仿宋" w:cs="仿宋"/>
          <w:sz w:val="22"/>
          <w:u w:val="single"/>
        </w:rPr>
        <w:t xml:space="preserve">  3  </w:t>
      </w:r>
      <w:r>
        <w:rPr>
          <w:rFonts w:hint="eastAsia" w:ascii="仿宋" w:hAnsi="仿宋" w:eastAsia="仿宋" w:cs="仿宋"/>
          <w:sz w:val="22"/>
        </w:rPr>
        <w:t>年；</w:t>
      </w:r>
    </w:p>
    <w:p w14:paraId="6FA68736">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7．其他项目保修期限约定如下：</w:t>
      </w:r>
      <w:r>
        <w:rPr>
          <w:rFonts w:hint="eastAsia" w:ascii="仿宋" w:hAnsi="仿宋" w:eastAsia="仿宋" w:cs="仿宋"/>
          <w:sz w:val="22"/>
          <w:u w:val="single"/>
        </w:rPr>
        <w:t xml:space="preserve">    </w:t>
      </w:r>
      <w:r>
        <w:rPr>
          <w:rFonts w:hint="eastAsia" w:ascii="仿宋" w:hAnsi="仿宋" w:eastAsia="仿宋" w:cs="仿宋"/>
          <w:sz w:val="22"/>
        </w:rPr>
        <w:t>。</w:t>
      </w:r>
    </w:p>
    <w:p w14:paraId="629E2870">
      <w:pPr>
        <w:spacing w:line="360" w:lineRule="auto"/>
        <w:jc w:val="left"/>
        <w:rPr>
          <w:rFonts w:hint="eastAsia" w:ascii="仿宋" w:hAnsi="仿宋" w:eastAsia="仿宋" w:cs="仿宋"/>
          <w:sz w:val="22"/>
        </w:rPr>
      </w:pPr>
      <w:r>
        <w:rPr>
          <w:rFonts w:hint="eastAsia" w:ascii="仿宋" w:hAnsi="仿宋" w:eastAsia="仿宋" w:cs="仿宋"/>
          <w:sz w:val="22"/>
        </w:rPr>
        <w:t>　　本项目质保期为5年。</w:t>
      </w:r>
    </w:p>
    <w:p w14:paraId="68823A69">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三、缺陷责任期</w:t>
      </w:r>
    </w:p>
    <w:p w14:paraId="6707B34C">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工程缺陷责任期为</w:t>
      </w:r>
      <w:r>
        <w:rPr>
          <w:rFonts w:hint="eastAsia" w:ascii="仿宋" w:hAnsi="仿宋" w:eastAsia="仿宋" w:cs="仿宋"/>
          <w:sz w:val="22"/>
          <w:u w:val="single"/>
        </w:rPr>
        <w:t xml:space="preserve">  60  </w:t>
      </w:r>
      <w:r>
        <w:rPr>
          <w:rFonts w:hint="eastAsia" w:ascii="仿宋" w:hAnsi="仿宋" w:eastAsia="仿宋" w:cs="仿宋"/>
          <w:sz w:val="22"/>
        </w:rPr>
        <w:t>个月，缺陷责任期自工程竣工验收合格之日起计算。单位工程先于全部工程进行验收，单位工程缺陷责任期自单位工程验收合格之日起算。</w:t>
      </w:r>
    </w:p>
    <w:p w14:paraId="2D764CB1">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缺陷责任期终止后，发包人应退还剩余的质量保证金。</w:t>
      </w:r>
    </w:p>
    <w:p w14:paraId="2E68F33A">
      <w:pPr>
        <w:spacing w:line="360" w:lineRule="auto"/>
        <w:jc w:val="left"/>
        <w:rPr>
          <w:rFonts w:hint="eastAsia" w:ascii="仿宋" w:hAnsi="仿宋" w:eastAsia="仿宋" w:cs="仿宋"/>
          <w:sz w:val="22"/>
        </w:rPr>
      </w:pPr>
      <w:r>
        <w:rPr>
          <w:rFonts w:hint="eastAsia" w:ascii="仿宋" w:hAnsi="仿宋" w:eastAsia="仿宋" w:cs="仿宋"/>
          <w:sz w:val="22"/>
        </w:rPr>
        <w:t xml:space="preserve">    四、质量保修责任</w:t>
      </w:r>
    </w:p>
    <w:p w14:paraId="0B47B225">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1．属于保修范围、内容的项目，承包人应当在接到保修通知之日起7天内派人保修。承包人不在约定期限内派人保修的，发包人可以委托他人修理。</w:t>
      </w:r>
    </w:p>
    <w:p w14:paraId="5889E026">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2．发生紧急事故需抢修的，承包人在接到事故通知后，应当立即到达事故现场抢修。</w:t>
      </w:r>
    </w:p>
    <w:p w14:paraId="3C69002D">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338872E">
      <w:pPr>
        <w:spacing w:line="360" w:lineRule="auto"/>
        <w:ind w:left="420" w:leftChars="200" w:firstLine="110" w:firstLineChars="50"/>
        <w:jc w:val="left"/>
        <w:rPr>
          <w:rFonts w:hint="eastAsia" w:ascii="仿宋" w:hAnsi="仿宋" w:eastAsia="仿宋" w:cs="仿宋"/>
          <w:sz w:val="22"/>
        </w:rPr>
      </w:pPr>
      <w:r>
        <w:rPr>
          <w:rFonts w:hint="eastAsia" w:ascii="仿宋" w:hAnsi="仿宋" w:eastAsia="仿宋" w:cs="仿宋"/>
          <w:sz w:val="22"/>
        </w:rPr>
        <w:t>4．质量保修完成后，由发包人组织验收。</w:t>
      </w:r>
    </w:p>
    <w:p w14:paraId="4AA6B877">
      <w:pPr>
        <w:spacing w:line="360" w:lineRule="auto"/>
        <w:jc w:val="left"/>
        <w:rPr>
          <w:rFonts w:hint="eastAsia" w:ascii="仿宋" w:hAnsi="仿宋" w:eastAsia="仿宋" w:cs="仿宋"/>
          <w:sz w:val="22"/>
        </w:rPr>
      </w:pPr>
      <w:r>
        <w:rPr>
          <w:rFonts w:hint="eastAsia" w:ascii="仿宋" w:hAnsi="仿宋" w:eastAsia="仿宋" w:cs="仿宋"/>
          <w:sz w:val="22"/>
        </w:rPr>
        <w:t>　　五、保修费用</w:t>
      </w:r>
    </w:p>
    <w:p w14:paraId="78FF9561">
      <w:pPr>
        <w:spacing w:line="360" w:lineRule="auto"/>
        <w:jc w:val="left"/>
        <w:rPr>
          <w:rFonts w:hint="eastAsia" w:ascii="仿宋" w:hAnsi="仿宋" w:eastAsia="仿宋" w:cs="仿宋"/>
          <w:sz w:val="22"/>
        </w:rPr>
      </w:pPr>
      <w:r>
        <w:rPr>
          <w:rFonts w:hint="eastAsia" w:ascii="仿宋" w:hAnsi="仿宋" w:eastAsia="仿宋" w:cs="仿宋"/>
          <w:sz w:val="22"/>
        </w:rPr>
        <w:t>　　保修费用由造成质量缺陷的责任方承担。</w:t>
      </w:r>
    </w:p>
    <w:p w14:paraId="00129684">
      <w:pPr>
        <w:spacing w:line="360" w:lineRule="auto"/>
        <w:ind w:firstLine="600"/>
        <w:jc w:val="left"/>
        <w:rPr>
          <w:rFonts w:hint="eastAsia" w:ascii="仿宋" w:hAnsi="仿宋" w:eastAsia="仿宋" w:cs="仿宋"/>
          <w:sz w:val="22"/>
          <w:u w:val="single"/>
        </w:rPr>
      </w:pPr>
      <w:r>
        <w:rPr>
          <w:rFonts w:hint="eastAsia" w:ascii="仿宋" w:hAnsi="仿宋" w:eastAsia="仿宋" w:cs="仿宋"/>
          <w:b/>
          <w:sz w:val="22"/>
        </w:rPr>
        <w:t>六</w:t>
      </w:r>
      <w:r>
        <w:rPr>
          <w:rFonts w:hint="eastAsia" w:ascii="仿宋" w:hAnsi="仿宋" w:eastAsia="仿宋" w:cs="仿宋"/>
          <w:sz w:val="22"/>
        </w:rPr>
        <w:t>、双方约定的其他工程质量保修事项：</w:t>
      </w:r>
      <w:r>
        <w:rPr>
          <w:rFonts w:hint="eastAsia" w:ascii="仿宋" w:hAnsi="仿宋" w:eastAsia="仿宋" w:cs="仿宋"/>
          <w:sz w:val="22"/>
          <w:u w:val="single"/>
        </w:rPr>
        <w:t xml:space="preserve">  另行协商   </w:t>
      </w:r>
      <w:r>
        <w:rPr>
          <w:rFonts w:hint="eastAsia" w:ascii="仿宋" w:hAnsi="仿宋" w:eastAsia="仿宋" w:cs="仿宋"/>
          <w:sz w:val="22"/>
        </w:rPr>
        <w:t>。</w:t>
      </w:r>
    </w:p>
    <w:p w14:paraId="6424E532">
      <w:pPr>
        <w:spacing w:line="360" w:lineRule="auto"/>
        <w:ind w:firstLine="418" w:firstLineChars="190"/>
        <w:jc w:val="left"/>
        <w:rPr>
          <w:rFonts w:hint="eastAsia" w:ascii="仿宋" w:hAnsi="仿宋" w:eastAsia="仿宋" w:cs="仿宋"/>
          <w:sz w:val="22"/>
        </w:rPr>
      </w:pPr>
      <w:r>
        <w:rPr>
          <w:rFonts w:hint="eastAsia" w:ascii="仿宋" w:hAnsi="仿宋" w:eastAsia="仿宋" w:cs="仿宋"/>
          <w:sz w:val="22"/>
        </w:rPr>
        <w:t>工程质量保修书由发包人、承包人在工程竣工验收前共同签署，作为施工合同附件，其有效期限至保修期满。</w:t>
      </w:r>
    </w:p>
    <w:p w14:paraId="7679A58D">
      <w:pPr>
        <w:spacing w:line="360" w:lineRule="auto"/>
        <w:ind w:firstLine="420"/>
        <w:jc w:val="left"/>
        <w:rPr>
          <w:rFonts w:hint="eastAsia" w:ascii="仿宋" w:hAnsi="仿宋" w:eastAsia="仿宋" w:cs="仿宋"/>
          <w:sz w:val="22"/>
        </w:rPr>
      </w:pPr>
    </w:p>
    <w:p w14:paraId="33D0F966">
      <w:pPr>
        <w:spacing w:line="360" w:lineRule="auto"/>
        <w:jc w:val="left"/>
        <w:rPr>
          <w:rFonts w:hint="eastAsia" w:ascii="仿宋" w:hAnsi="仿宋" w:eastAsia="仿宋" w:cs="仿宋"/>
          <w:sz w:val="22"/>
        </w:rPr>
      </w:pPr>
      <w:r>
        <w:rPr>
          <w:rFonts w:hint="eastAsia" w:ascii="仿宋" w:hAnsi="仿宋" w:eastAsia="仿宋" w:cs="仿宋"/>
          <w:sz w:val="22"/>
        </w:rPr>
        <w:t>发包人(公章)：                      承包人(公章)：</w:t>
      </w:r>
    </w:p>
    <w:p w14:paraId="72FC9C89">
      <w:pPr>
        <w:spacing w:line="360" w:lineRule="auto"/>
        <w:jc w:val="left"/>
        <w:rPr>
          <w:rFonts w:hint="eastAsia" w:ascii="仿宋" w:hAnsi="仿宋" w:eastAsia="仿宋" w:cs="仿宋"/>
          <w:sz w:val="22"/>
        </w:rPr>
      </w:pPr>
      <w:r>
        <w:rPr>
          <w:rFonts w:hint="eastAsia" w:ascii="仿宋" w:hAnsi="仿宋" w:eastAsia="仿宋" w:cs="仿宋"/>
          <w:sz w:val="22"/>
        </w:rPr>
        <w:t>地  址：                            地  址：</w:t>
      </w:r>
    </w:p>
    <w:p w14:paraId="600E35D8">
      <w:pPr>
        <w:spacing w:line="360" w:lineRule="auto"/>
        <w:jc w:val="left"/>
        <w:rPr>
          <w:rFonts w:hint="eastAsia" w:ascii="仿宋" w:hAnsi="仿宋" w:eastAsia="仿宋" w:cs="仿宋"/>
          <w:sz w:val="22"/>
        </w:rPr>
      </w:pPr>
      <w:r>
        <w:rPr>
          <w:rFonts w:hint="eastAsia" w:ascii="仿宋" w:hAnsi="仿宋" w:eastAsia="仿宋" w:cs="仿宋"/>
          <w:sz w:val="22"/>
        </w:rPr>
        <w:t>法定代表人(签字)：                  法定代表人(签字)：</w:t>
      </w:r>
    </w:p>
    <w:p w14:paraId="1C3485E6">
      <w:pPr>
        <w:spacing w:line="360" w:lineRule="auto"/>
        <w:jc w:val="left"/>
        <w:rPr>
          <w:rFonts w:hint="eastAsia" w:ascii="仿宋" w:hAnsi="仿宋" w:eastAsia="仿宋" w:cs="仿宋"/>
          <w:sz w:val="22"/>
        </w:rPr>
      </w:pPr>
      <w:r>
        <w:rPr>
          <w:rFonts w:hint="eastAsia" w:ascii="仿宋" w:hAnsi="仿宋" w:eastAsia="仿宋" w:cs="仿宋"/>
          <w:sz w:val="22"/>
        </w:rPr>
        <w:t>委托代理人(签字)：                  委托代理人(签字)：</w:t>
      </w:r>
    </w:p>
    <w:p w14:paraId="260187A5">
      <w:pPr>
        <w:spacing w:line="360" w:lineRule="auto"/>
        <w:jc w:val="left"/>
        <w:rPr>
          <w:rFonts w:hint="eastAsia" w:ascii="仿宋" w:hAnsi="仿宋" w:eastAsia="仿宋" w:cs="仿宋"/>
          <w:sz w:val="22"/>
        </w:rPr>
      </w:pPr>
      <w:r>
        <w:rPr>
          <w:rFonts w:hint="eastAsia" w:ascii="仿宋" w:hAnsi="仿宋" w:eastAsia="仿宋" w:cs="仿宋"/>
          <w:sz w:val="22"/>
        </w:rPr>
        <w:t>电  话：                            电  话：</w:t>
      </w:r>
    </w:p>
    <w:p w14:paraId="23BD9C89">
      <w:pPr>
        <w:spacing w:line="360" w:lineRule="auto"/>
        <w:jc w:val="left"/>
        <w:rPr>
          <w:rFonts w:hint="eastAsia" w:ascii="仿宋" w:hAnsi="仿宋" w:eastAsia="仿宋" w:cs="仿宋"/>
          <w:sz w:val="22"/>
        </w:rPr>
      </w:pPr>
      <w:r>
        <w:rPr>
          <w:rFonts w:hint="eastAsia" w:ascii="仿宋" w:hAnsi="仿宋" w:eastAsia="仿宋" w:cs="仿宋"/>
          <w:sz w:val="22"/>
        </w:rPr>
        <w:t>传  真：                            传  真：</w:t>
      </w:r>
    </w:p>
    <w:p w14:paraId="3C2AF435">
      <w:pPr>
        <w:spacing w:line="360" w:lineRule="auto"/>
        <w:jc w:val="left"/>
        <w:rPr>
          <w:rFonts w:hint="eastAsia" w:ascii="仿宋" w:hAnsi="仿宋" w:eastAsia="仿宋" w:cs="仿宋"/>
          <w:sz w:val="22"/>
        </w:rPr>
      </w:pPr>
      <w:r>
        <w:rPr>
          <w:rFonts w:hint="eastAsia" w:ascii="仿宋" w:hAnsi="仿宋" w:eastAsia="仿宋" w:cs="仿宋"/>
          <w:sz w:val="22"/>
        </w:rPr>
        <w:t>开户银行：                          开户银行：</w:t>
      </w:r>
    </w:p>
    <w:p w14:paraId="56E7772F">
      <w:pPr>
        <w:spacing w:line="360" w:lineRule="auto"/>
        <w:jc w:val="left"/>
        <w:rPr>
          <w:rFonts w:hint="eastAsia" w:ascii="仿宋" w:hAnsi="仿宋" w:eastAsia="仿宋" w:cs="仿宋"/>
          <w:sz w:val="22"/>
        </w:rPr>
      </w:pPr>
      <w:r>
        <w:rPr>
          <w:rFonts w:hint="eastAsia" w:ascii="仿宋" w:hAnsi="仿宋" w:eastAsia="仿宋" w:cs="仿宋"/>
          <w:sz w:val="22"/>
        </w:rPr>
        <w:t>账  号：                            账  号：</w:t>
      </w:r>
    </w:p>
    <w:p w14:paraId="08D42F6D">
      <w:pPr>
        <w:spacing w:line="360" w:lineRule="auto"/>
        <w:jc w:val="left"/>
        <w:rPr>
          <w:rFonts w:hint="eastAsia" w:ascii="仿宋" w:hAnsi="仿宋" w:eastAsia="仿宋" w:cs="仿宋"/>
          <w:sz w:val="22"/>
        </w:rPr>
      </w:pPr>
      <w:r>
        <w:rPr>
          <w:rFonts w:hint="eastAsia" w:ascii="仿宋" w:hAnsi="仿宋" w:eastAsia="仿宋" w:cs="仿宋"/>
          <w:sz w:val="22"/>
        </w:rPr>
        <w:t>邮政编码：                          邮政编码：</w:t>
      </w:r>
    </w:p>
    <w:p w14:paraId="4F2C2AE9">
      <w:pPr>
        <w:rPr>
          <w:rFonts w:hint="eastAsia" w:ascii="仿宋" w:hAnsi="仿宋" w:eastAsia="仿宋" w:cs="仿宋"/>
          <w:sz w:val="22"/>
        </w:rPr>
      </w:pPr>
    </w:p>
    <w:p w14:paraId="6C76FCF7">
      <w:pPr>
        <w:spacing w:line="440" w:lineRule="exact"/>
        <w:jc w:val="left"/>
        <w:rPr>
          <w:rFonts w:hint="eastAsia" w:ascii="仿宋" w:hAnsi="仿宋" w:eastAsia="仿宋" w:cs="仿宋"/>
          <w:sz w:val="22"/>
        </w:rPr>
      </w:pPr>
    </w:p>
    <w:p w14:paraId="2BD38525">
      <w:pPr>
        <w:spacing w:line="440" w:lineRule="exact"/>
        <w:jc w:val="left"/>
        <w:rPr>
          <w:rFonts w:hint="eastAsia" w:ascii="仿宋" w:hAnsi="仿宋" w:eastAsia="仿宋" w:cs="仿宋"/>
          <w:sz w:val="22"/>
        </w:rPr>
      </w:pPr>
    </w:p>
    <w:p w14:paraId="6CA7A831">
      <w:pPr>
        <w:spacing w:line="440" w:lineRule="exact"/>
        <w:jc w:val="left"/>
        <w:rPr>
          <w:rFonts w:hint="eastAsia" w:ascii="仿宋" w:hAnsi="仿宋" w:eastAsia="仿宋" w:cs="仿宋"/>
          <w:sz w:val="22"/>
        </w:rPr>
      </w:pPr>
    </w:p>
    <w:p w14:paraId="76EC5223">
      <w:pPr>
        <w:spacing w:line="440" w:lineRule="exact"/>
        <w:jc w:val="left"/>
        <w:rPr>
          <w:rFonts w:hint="eastAsia" w:ascii="仿宋" w:hAnsi="仿宋" w:eastAsia="仿宋" w:cs="仿宋"/>
          <w:sz w:val="22"/>
        </w:rPr>
      </w:pPr>
    </w:p>
    <w:p w14:paraId="6318101C">
      <w:pPr>
        <w:spacing w:line="440" w:lineRule="exact"/>
        <w:jc w:val="left"/>
        <w:rPr>
          <w:rFonts w:hint="eastAsia" w:ascii="仿宋" w:hAnsi="仿宋" w:eastAsia="仿宋" w:cs="仿宋"/>
          <w:sz w:val="22"/>
        </w:rPr>
      </w:pPr>
    </w:p>
    <w:p w14:paraId="2D2EE4B4">
      <w:pPr>
        <w:spacing w:line="440" w:lineRule="exact"/>
        <w:jc w:val="left"/>
        <w:rPr>
          <w:rFonts w:hint="eastAsia" w:ascii="仿宋" w:hAnsi="仿宋" w:eastAsia="仿宋" w:cs="仿宋"/>
          <w:sz w:val="22"/>
        </w:rPr>
      </w:pPr>
    </w:p>
    <w:p w14:paraId="7B08A1C2">
      <w:pPr>
        <w:spacing w:line="440" w:lineRule="exact"/>
        <w:jc w:val="left"/>
        <w:rPr>
          <w:rFonts w:hint="eastAsia" w:ascii="仿宋" w:hAnsi="仿宋" w:eastAsia="仿宋" w:cs="仿宋"/>
          <w:sz w:val="22"/>
        </w:rPr>
      </w:pPr>
    </w:p>
    <w:p w14:paraId="15327D8D">
      <w:pPr>
        <w:pStyle w:val="17"/>
      </w:pPr>
    </w:p>
    <w:p w14:paraId="4D073741">
      <w:pPr>
        <w:pStyle w:val="17"/>
      </w:pPr>
    </w:p>
    <w:p w14:paraId="28DF98D3">
      <w:pPr>
        <w:spacing w:line="440" w:lineRule="exact"/>
        <w:jc w:val="left"/>
        <w:rPr>
          <w:rFonts w:hint="eastAsia" w:ascii="仿宋" w:hAnsi="仿宋" w:eastAsia="仿宋" w:cs="仿宋"/>
          <w:sz w:val="22"/>
        </w:rPr>
      </w:pPr>
    </w:p>
    <w:p w14:paraId="528A1C9A">
      <w:pPr>
        <w:pStyle w:val="17"/>
      </w:pPr>
    </w:p>
    <w:p w14:paraId="17782C25">
      <w:pPr>
        <w:spacing w:line="440" w:lineRule="exact"/>
        <w:jc w:val="left"/>
        <w:rPr>
          <w:rFonts w:hint="eastAsia" w:ascii="仿宋" w:hAnsi="仿宋" w:eastAsia="仿宋" w:cs="仿宋"/>
          <w:b/>
          <w:bCs/>
          <w:sz w:val="28"/>
          <w:szCs w:val="30"/>
        </w:rPr>
      </w:pPr>
      <w:r>
        <w:rPr>
          <w:rFonts w:hint="eastAsia" w:ascii="仿宋" w:hAnsi="仿宋" w:eastAsia="仿宋" w:cs="仿宋"/>
          <w:b/>
          <w:bCs/>
          <w:sz w:val="28"/>
          <w:szCs w:val="30"/>
        </w:rPr>
        <w:t>附件2</w:t>
      </w:r>
    </w:p>
    <w:p w14:paraId="78424601">
      <w:pPr>
        <w:spacing w:before="120" w:beforeLines="50" w:after="120" w:afterLines="50" w:line="440" w:lineRule="exact"/>
        <w:jc w:val="center"/>
        <w:rPr>
          <w:rFonts w:hint="eastAsia" w:ascii="仿宋" w:hAnsi="仿宋" w:eastAsia="仿宋" w:cs="仿宋"/>
          <w:b/>
          <w:bCs/>
          <w:sz w:val="28"/>
          <w:szCs w:val="30"/>
        </w:rPr>
      </w:pPr>
      <w:r>
        <w:rPr>
          <w:rFonts w:hint="eastAsia" w:ascii="仿宋" w:hAnsi="仿宋" w:eastAsia="仿宋" w:cs="仿宋"/>
          <w:b/>
          <w:bCs/>
          <w:sz w:val="28"/>
          <w:szCs w:val="30"/>
        </w:rPr>
        <w:t>安全生产责任协议书</w:t>
      </w:r>
    </w:p>
    <w:p w14:paraId="218487E8">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为落实安全生产的管理要求，确保工程建设的顺利进行，经甲乙双方共同协商，一致同意如下：</w:t>
      </w:r>
    </w:p>
    <w:p w14:paraId="745E865A">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一、甲方在施工开始前向乙方提交必要的施工场地，明确乙方安全生产管理的责任区域和要求，乙方负责施工现场的安全管理工作，是施工现场的安全管理的责任单位。乙方必须建立安全生产保证体系，其相关文件报甲方备案。</w:t>
      </w:r>
    </w:p>
    <w:p w14:paraId="695517F0">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二、甲方可以组织和督促乙方开展安全达标活动；及时传达和部署上级的有关安全生产精神和要求，定期听取乙方的意见和要求。加强安全生产的指导和协调。</w:t>
      </w:r>
    </w:p>
    <w:p w14:paraId="00844C1A">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三、甲方有权组织对乙方安全规范作业、文明施工情况的检查，定期组织考核；对乙方及有关人员在安全生产工作中有突出贡献或成绩显著的集体、个人可以给予表彰和物资奖励。对乙方及有关人员发生的违章、违法行为和存在的问题以及在安全生产、文明施工等创优达标活动中不积极配合的，甲方有权进行教育、责成其限期整改。对责任单位每次处罚200—500元不等。对未按要求限期整改的或整改不力、情节严重并造成一定后果的，对责任单位每次处罚1000元一2000元不等。</w:t>
      </w:r>
    </w:p>
    <w:p w14:paraId="6E6822DC">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四、凡工地内发生生产事故或重大人员伤亡的，甲方派员参与劳动行政部门、司法机关调查处理。甲方可按其造成的后果及影响，对责任单以按责任违约给予一次性经济的处理。责任违约的经济处理按《发包工程安全抵押金实施细则》扣除。事故造成的经济损失及因乙方责任给甲方造成的连带经济损失全部由乙方承担。</w:t>
      </w:r>
    </w:p>
    <w:p w14:paraId="2C0E5294">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五、乙方要严格贯彻执行国家和本市颁发的有关安全生产的法律、法规严格按照中华人民共和国建设部《关于印发&lt;2009年工程建设标准规范制订、修订计划&gt;的通知》（建标[2009]88号）要求修订后的《建筑施工安全检查标准》 (编号JGJ59-2011)的要求加强内部安全管理，落实各项安全防护措施，确保工程建设中不发生重大伤亡事故。</w:t>
      </w:r>
    </w:p>
    <w:p w14:paraId="3C82B223">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7CF8AF4B">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七、乙方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14:paraId="6B69D47E">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5609D68A">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九、乙方要按照“安全自查，隐患自改、责任自负”的原则加强对施工责任区的日常安全检查。及时制止和处理各类违章违法行为。对查获的隐患要及时落实整改措施，消除隐患。</w:t>
      </w:r>
    </w:p>
    <w:p w14:paraId="52785435">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14:paraId="6D435A8E">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十一、乙方因疏于管理违章违法作业发生安全事故或造成人员伤亡的，应在积极抢救受伤人员、保护现场的同时，严格按安全事故上报的规定时限向甲方和当地劳动行政部门汇报，不得迟报瞒报。</w:t>
      </w:r>
    </w:p>
    <w:p w14:paraId="4BF5E99A">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十二、本协议中未涉及的有关条款，甲乙双方可根据需要协商补充修改。如遇有国家和本市的有关法规不符的，应按国家和本市的有关法规执行。</w:t>
      </w:r>
    </w:p>
    <w:p w14:paraId="340FA811">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十三、本协议作为甲乙双方工程合同的附件，在工程合同签约后生效，与工程合同具有同等法律效力。工程合同期满，本协议终止。</w:t>
      </w:r>
    </w:p>
    <w:p w14:paraId="57AF55F6">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 xml:space="preserve">甲 方：(盖章)                          乙 方：(盖章)       </w:t>
      </w:r>
    </w:p>
    <w:p w14:paraId="7C81AAA3">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法定代表人：                           法定代表人：</w:t>
      </w:r>
    </w:p>
    <w:p w14:paraId="157C1B1D">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委托代理人：                           委托代理人：</w:t>
      </w:r>
    </w:p>
    <w:p w14:paraId="5528F097">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 xml:space="preserve">地  址：                               地 址： </w:t>
      </w:r>
    </w:p>
    <w:p w14:paraId="1EA2AE85">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电 话：                                电 话：</w:t>
      </w:r>
    </w:p>
    <w:p w14:paraId="620DD9BD">
      <w:pPr>
        <w:spacing w:line="360" w:lineRule="auto"/>
        <w:ind w:left="105" w:leftChars="50" w:firstLine="450" w:firstLineChars="205"/>
        <w:jc w:val="left"/>
        <w:rPr>
          <w:rFonts w:hint="eastAsia" w:ascii="仿宋" w:hAnsi="仿宋" w:eastAsia="仿宋" w:cs="仿宋"/>
          <w:sz w:val="22"/>
        </w:rPr>
      </w:pPr>
      <w:r>
        <w:rPr>
          <w:rFonts w:hint="eastAsia" w:ascii="仿宋" w:hAnsi="仿宋" w:eastAsia="仿宋" w:cs="仿宋"/>
          <w:sz w:val="22"/>
        </w:rPr>
        <w:t>2025年  　月 日                         年  月   日</w:t>
      </w:r>
    </w:p>
    <w:p w14:paraId="4867150E">
      <w:pPr>
        <w:rPr>
          <w:rFonts w:hint="eastAsia" w:ascii="仿宋" w:hAnsi="仿宋" w:eastAsia="仿宋" w:cs="仿宋"/>
          <w:b/>
          <w:bCs/>
          <w:sz w:val="28"/>
          <w:szCs w:val="32"/>
        </w:rPr>
      </w:pPr>
    </w:p>
    <w:p w14:paraId="359F9B6B">
      <w:pPr>
        <w:pStyle w:val="17"/>
      </w:pPr>
    </w:p>
    <w:p w14:paraId="471A2FD6">
      <w:pPr>
        <w:pStyle w:val="17"/>
      </w:pPr>
    </w:p>
    <w:p w14:paraId="52AA0805">
      <w:pPr>
        <w:pStyle w:val="17"/>
      </w:pPr>
    </w:p>
    <w:p w14:paraId="60029B81">
      <w:pPr>
        <w:pStyle w:val="17"/>
      </w:pPr>
    </w:p>
    <w:p w14:paraId="388DB5AE">
      <w:pPr>
        <w:pStyle w:val="17"/>
      </w:pPr>
    </w:p>
    <w:p w14:paraId="2F7FAA74">
      <w:pPr>
        <w:rPr>
          <w:rFonts w:hint="eastAsia" w:ascii="仿宋" w:hAnsi="仿宋" w:eastAsia="仿宋" w:cs="仿宋"/>
          <w:b/>
          <w:bCs/>
          <w:sz w:val="28"/>
          <w:szCs w:val="32"/>
        </w:rPr>
      </w:pPr>
      <w:r>
        <w:rPr>
          <w:rFonts w:hint="eastAsia" w:ascii="仿宋" w:hAnsi="仿宋" w:eastAsia="仿宋" w:cs="仿宋"/>
          <w:b/>
          <w:bCs/>
          <w:sz w:val="28"/>
          <w:szCs w:val="32"/>
        </w:rPr>
        <w:t xml:space="preserve">附件3          </w:t>
      </w:r>
    </w:p>
    <w:p w14:paraId="4FBB009A">
      <w:pPr>
        <w:jc w:val="center"/>
        <w:rPr>
          <w:rFonts w:hint="eastAsia" w:ascii="仿宋" w:hAnsi="仿宋" w:eastAsia="仿宋" w:cs="仿宋"/>
          <w:b/>
          <w:sz w:val="28"/>
          <w:szCs w:val="30"/>
        </w:rPr>
      </w:pPr>
      <w:r>
        <w:rPr>
          <w:rFonts w:hint="eastAsia" w:ascii="仿宋" w:hAnsi="仿宋" w:eastAsia="仿宋" w:cs="仿宋"/>
          <w:b/>
          <w:sz w:val="28"/>
          <w:szCs w:val="30"/>
        </w:rPr>
        <w:t>廉政建设协议</w:t>
      </w:r>
    </w:p>
    <w:p w14:paraId="5412F354">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根据国家有关工程建设、廉政建设的规定，为做好工程建设中的党风廉政建设，保证工程建设高效优质，保证建设资金的安全和有效使用以及投资效益，工程项目的发包人</w:t>
      </w:r>
      <w:r>
        <w:rPr>
          <w:rFonts w:hint="eastAsia" w:ascii="仿宋" w:hAnsi="仿宋" w:eastAsia="仿宋" w:cs="仿宋"/>
          <w:sz w:val="22"/>
          <w:u w:val="single"/>
        </w:rPr>
        <w:t xml:space="preserve"> </w:t>
      </w:r>
      <w:r>
        <w:rPr>
          <w:rFonts w:hint="eastAsia" w:ascii="仿宋" w:hAnsi="仿宋" w:eastAsia="仿宋" w:cs="仿宋"/>
          <w:color w:val="000000"/>
          <w:sz w:val="22"/>
          <w:szCs w:val="22"/>
          <w:u w:val="single"/>
          <w:lang w:val="zh-CN" w:bidi="zh-CN"/>
        </w:rPr>
        <w:t>南京审计大学金审学院</w:t>
      </w:r>
      <w:r>
        <w:rPr>
          <w:rFonts w:hint="eastAsia" w:ascii="仿宋" w:hAnsi="仿宋" w:eastAsia="仿宋" w:cs="仿宋"/>
          <w:sz w:val="22"/>
          <w:u w:val="single"/>
        </w:rPr>
        <w:t xml:space="preserve"> </w:t>
      </w:r>
      <w:r>
        <w:rPr>
          <w:rFonts w:hint="eastAsia" w:ascii="仿宋" w:hAnsi="仿宋" w:eastAsia="仿宋" w:cs="仿宋"/>
          <w:sz w:val="22"/>
        </w:rPr>
        <w:t>（以下简称“甲方”）与承包人</w:t>
      </w:r>
      <w:r>
        <w:rPr>
          <w:rFonts w:hint="eastAsia" w:ascii="仿宋" w:hAnsi="仿宋" w:eastAsia="仿宋" w:cs="仿宋"/>
          <w:sz w:val="22"/>
          <w:u w:val="single"/>
        </w:rPr>
        <w:t xml:space="preserve">                    </w:t>
      </w:r>
      <w:r>
        <w:rPr>
          <w:rFonts w:hint="eastAsia" w:ascii="仿宋" w:hAnsi="仿宋" w:eastAsia="仿宋" w:cs="仿宋"/>
          <w:sz w:val="22"/>
        </w:rPr>
        <w:t>（以下简称“乙方”），特订立如下协议。</w:t>
      </w:r>
    </w:p>
    <w:p w14:paraId="760DC01E">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1.甲乙双方的权利和义务</w:t>
      </w:r>
    </w:p>
    <w:p w14:paraId="0890409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（1）严格遵守党和国家的有关法律法规及纪检监察机关的有关规定。</w:t>
      </w:r>
    </w:p>
    <w:p w14:paraId="210B179C">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（2）严格执行有关工程建设合同（协议）文件，自觉按合同（协议）办事。</w:t>
      </w:r>
    </w:p>
    <w:p w14:paraId="41956FF9">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（3）双方的业务活动坚持公开、公正、诚信、透明的原则（法律认定的商业秘密和合同文件另有规定除外），不得损害国家和集体利益，违反工程建设管理规章制度。</w:t>
      </w:r>
    </w:p>
    <w:p w14:paraId="1CF5750E">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（4）建立健全廉政制度，开展廉政教育，设立廉政告示牌，公布举报电话，监督并认真查处违法违纪行为。</w:t>
      </w:r>
    </w:p>
    <w:p w14:paraId="0F986C83">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（5）发现对方在业务活动中有违反廉政规定的行为，有及时提醒对方纠正的权利及义务。</w:t>
      </w:r>
    </w:p>
    <w:p w14:paraId="65878992">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（6）发现对方严重违反本协议义务条款的行为，有向其上级有关部门举报、建议给予处理并要求告知处理结果的权利。</w:t>
      </w:r>
    </w:p>
    <w:p w14:paraId="1BB597C8">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2.甲方的义务</w:t>
      </w:r>
    </w:p>
    <w:p w14:paraId="208CA328">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（1）甲方及其工作人员不得索要或接受乙方的礼金、有价证券和贵重物品，不得在乙方报销任何应由甲方或甲方工作人员个人支付的费用等。</w:t>
      </w:r>
    </w:p>
    <w:p w14:paraId="4E5C04A8">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（2）甲方工作人员不得参加乙方安排的超标准宴请和娱乐活动；不得接受乙方提供的通讯工具、交通工具和高档办公用品等。</w:t>
      </w:r>
    </w:p>
    <w:p w14:paraId="3B2B73AE">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（3）甲方及其工作人员不得要求或者接受乙方为其住房装修、婚丧嫁娶活动、配偶子女的工作安排以及出国出境、旅游等提供方便等。</w:t>
      </w:r>
    </w:p>
    <w:p w14:paraId="0D019B1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（4）甲方工作人及其配偶、子女不得从事与甲方工程有关的材料设备供应、工程分包、劳务等经济活动等。</w:t>
      </w:r>
    </w:p>
    <w:p w14:paraId="11A7F37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（5）甲方及其工作人员不得以任何理由向乙方推荐分包单位或推销材料，不得要求乙方购买合同规定外的材料和设备。</w:t>
      </w:r>
    </w:p>
    <w:p w14:paraId="7333C67D">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（6）甲方工作人员要秉公办事，不准营私舞弊，不准利用职权从事各种个人有偿中介活动和安排个人施工队伍。</w:t>
      </w:r>
    </w:p>
    <w:p w14:paraId="24529456">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3.乙方义务</w:t>
      </w:r>
    </w:p>
    <w:p w14:paraId="0F116284">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（1）乙方不得以任何理由向甲方及其工作人员行贿或馈赠礼金、有价证券、贵重礼品。</w:t>
      </w:r>
    </w:p>
    <w:p w14:paraId="28FD0911">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（2）乙方不得以任何名义为甲方及其工作人员报销应由甲方单位或个人支付的任何费用。</w:t>
      </w:r>
    </w:p>
    <w:p w14:paraId="0E51A3F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（3）乙方不得以任何理由安排甲方工作人员参加超标准宴请及娱乐活动。</w:t>
      </w:r>
    </w:p>
    <w:p w14:paraId="6D0C564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（4）乙方不得为甲方单位和个人购置或提供通讯工具、交通工具和高档办公用品等。</w:t>
      </w:r>
    </w:p>
    <w:p w14:paraId="0D56E54C">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 xml:space="preserve">    4.违约责任</w:t>
      </w:r>
    </w:p>
    <w:p w14:paraId="59A73FB1">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（1）甲方及其工作人员违反本协议第一、二条，按管理权限，依据有关规定给予党纪、政纪或组织处理；涉嫌犯罪的，移交司法机关追究刑事责任；给乙方单位造成经济损失的，应予以赔偿。</w:t>
      </w:r>
    </w:p>
    <w:p w14:paraId="0043542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2）乙方及其工作人员违反本协议第一、三条，按管理权限，依据有关规定给予党纪、政纪或组织处理；给甲方单位造成经济损失的，应予以赔偿；情节严重的，甲方建议工程建设主管部门给予乙方一至三年内不得进入其主管的工程建设市场的处罚。</w:t>
      </w:r>
    </w:p>
    <w:p w14:paraId="32001065">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5.双方约定：本协议由甲方的纪检监察机关（部门）负责监督执行。由甲方或甲方上级单位的纪检监察机关约请乙方或乙方上级单位纪检监察机关对本协议执行情况进行检查，提出在本协议规定范围内的裁定意见。</w:t>
      </w:r>
    </w:p>
    <w:p w14:paraId="4781BD52">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6.本协议有效期自签章生效始至工程建设合同（协议）执行完成止。</w:t>
      </w:r>
    </w:p>
    <w:p w14:paraId="5748D7B7">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7.本协议作为工程建设合同（协议）附件，由双方法定代表人或其授权的代理人签署与加盖公章后生效。</w:t>
      </w:r>
    </w:p>
    <w:p w14:paraId="20887B06">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发包人：（盖公章）                        承包人：（盖公章）</w:t>
      </w:r>
    </w:p>
    <w:p w14:paraId="2EE44C1A">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法定代表人                              法定代表人</w:t>
      </w:r>
    </w:p>
    <w:p w14:paraId="074860C2">
      <w:pPr>
        <w:spacing w:line="360" w:lineRule="auto"/>
        <w:ind w:firstLine="440" w:firstLineChars="200"/>
        <w:jc w:val="left"/>
        <w:rPr>
          <w:rFonts w:hint="eastAsia" w:ascii="仿宋" w:hAnsi="仿宋" w:eastAsia="仿宋" w:cs="仿宋"/>
          <w:sz w:val="22"/>
        </w:rPr>
      </w:pPr>
      <w:r>
        <w:rPr>
          <w:rFonts w:hint="eastAsia" w:ascii="仿宋" w:hAnsi="仿宋" w:eastAsia="仿宋" w:cs="仿宋"/>
          <w:sz w:val="22"/>
        </w:rPr>
        <w:t>或其委托代理人：（签字）                 或其委托代理人：（签字）</w:t>
      </w:r>
    </w:p>
    <w:p w14:paraId="7EB4A7BF">
      <w:pPr>
        <w:spacing w:line="440" w:lineRule="exact"/>
        <w:ind w:firstLine="990" w:firstLineChars="450"/>
        <w:jc w:val="left"/>
        <w:rPr>
          <w:rFonts w:hint="eastAsia" w:ascii="仿宋" w:hAnsi="仿宋" w:eastAsia="仿宋" w:cs="仿宋"/>
          <w:sz w:val="22"/>
        </w:rPr>
      </w:pPr>
      <w:r>
        <w:rPr>
          <w:rFonts w:hint="eastAsia" w:ascii="仿宋" w:hAnsi="仿宋" w:eastAsia="仿宋" w:cs="仿宋"/>
          <w:sz w:val="22"/>
        </w:rPr>
        <w:t>年    月   日                            年    月   日</w:t>
      </w:r>
    </w:p>
    <w:p w14:paraId="73945035">
      <w:pPr>
        <w:rPr>
          <w:b/>
          <w:szCs w:val="21"/>
          <w:highlight w:val="white"/>
        </w:rPr>
      </w:pPr>
    </w:p>
    <w:p w14:paraId="1BD5EAFB">
      <w:pPr>
        <w:rPr>
          <w:rFonts w:hint="eastAsia" w:ascii="宋体" w:hAnsi="宋体"/>
          <w:b/>
          <w:color w:val="00B0F0"/>
          <w:sz w:val="36"/>
          <w:szCs w:val="36"/>
        </w:rPr>
      </w:pPr>
      <w:bookmarkStart w:id="737" w:name="_Toc2696"/>
      <w:bookmarkStart w:id="738" w:name="_Toc26583"/>
      <w:r>
        <w:rPr>
          <w:rFonts w:hint="eastAsia" w:ascii="宋体" w:hAnsi="宋体"/>
          <w:b/>
          <w:color w:val="00B0F0"/>
          <w:sz w:val="36"/>
          <w:szCs w:val="36"/>
        </w:rPr>
        <w:br w:type="page" w:clear="all"/>
      </w:r>
      <w:bookmarkEnd w:id="737"/>
      <w:bookmarkEnd w:id="738"/>
    </w:p>
    <w:p w14:paraId="78A45E0C">
      <w:pPr>
        <w:pStyle w:val="233"/>
        <w:rPr>
          <w:rFonts w:hint="eastAsia" w:cs="宋体" w:asciiTheme="minorEastAsia" w:hAnsiTheme="minorEastAsia" w:eastAsiaTheme="minorEastAsia"/>
          <w:b/>
          <w:bCs w:val="0"/>
          <w:sz w:val="28"/>
          <w:szCs w:val="28"/>
        </w:rPr>
      </w:pPr>
      <w:bookmarkStart w:id="739" w:name="_Toc31568"/>
      <w:r>
        <w:rPr>
          <w:rFonts w:hint="eastAsia" w:ascii="宋体" w:hAnsi="宋体"/>
          <w:b/>
        </w:rPr>
        <w:t>★</w:t>
      </w:r>
      <w:r>
        <w:rPr>
          <w:rFonts w:hint="eastAsia" w:ascii="宋体" w:hAnsi="宋体" w:eastAsia="宋体" w:cs="宋体"/>
          <w:b/>
          <w:bCs w:val="0"/>
          <w:sz w:val="28"/>
          <w:szCs w:val="28"/>
        </w:rPr>
        <w:t>第五章</w:t>
      </w:r>
      <w:r>
        <w:rPr>
          <w:rFonts w:ascii="宋体" w:hAnsi="宋体" w:eastAsia="宋体" w:cs="宋体"/>
          <w:b/>
          <w:bCs w:val="0"/>
          <w:sz w:val="28"/>
          <w:szCs w:val="28"/>
        </w:rPr>
        <w:t xml:space="preserve"> </w:t>
      </w:r>
      <w:bookmarkEnd w:id="739"/>
      <w:r>
        <w:rPr>
          <w:rFonts w:hint="eastAsia" w:cs="宋体" w:asciiTheme="minorEastAsia" w:hAnsiTheme="minorEastAsia" w:eastAsiaTheme="minorEastAsia"/>
          <w:b/>
          <w:bCs w:val="0"/>
          <w:sz w:val="28"/>
          <w:szCs w:val="28"/>
        </w:rPr>
        <w:t>采购需求</w:t>
      </w:r>
    </w:p>
    <w:p w14:paraId="54B8DB68">
      <w:pPr>
        <w:spacing w:line="440" w:lineRule="exact"/>
        <w:jc w:val="center"/>
        <w:rPr>
          <w:rFonts w:hint="eastAsia" w:ascii="宋体" w:hAnsi="宋体" w:cs="宋体"/>
          <w:b/>
          <w:sz w:val="32"/>
          <w:szCs w:val="32"/>
        </w:rPr>
      </w:pPr>
      <w:r>
        <w:rPr>
          <w:rFonts w:hint="eastAsia" w:ascii="宋体" w:hAnsi="宋体" w:cs="宋体"/>
          <w:b/>
          <w:sz w:val="28"/>
          <w:szCs w:val="28"/>
        </w:rPr>
        <w:t>南京审计大学金审学院西门快递驿站工程</w:t>
      </w:r>
    </w:p>
    <w:p w14:paraId="52C61818">
      <w:pPr>
        <w:spacing w:line="360" w:lineRule="auto"/>
        <w:ind w:firstLine="482"/>
        <w:rPr>
          <w:rFonts w:hint="eastAsia" w:ascii="宋体" w:hAnsi="宋体" w:cs="宋体"/>
          <w:b/>
          <w:bCs/>
          <w:sz w:val="24"/>
          <w:lang w:bidi="ar"/>
        </w:rPr>
      </w:pPr>
    </w:p>
    <w:p w14:paraId="14973F77">
      <w:pPr>
        <w:spacing w:line="360" w:lineRule="auto"/>
        <w:ind w:firstLine="482"/>
        <w:outlineLvl w:val="1"/>
        <w:rPr>
          <w:rFonts w:hint="eastAsia" w:ascii="宋体" w:hAnsi="宋体" w:cs="宋体"/>
          <w:b/>
          <w:bCs/>
          <w:sz w:val="24"/>
          <w:lang w:bidi="ar"/>
        </w:rPr>
      </w:pPr>
      <w:r>
        <w:rPr>
          <w:rFonts w:hint="eastAsia" w:ascii="宋体" w:hAnsi="宋体" w:cs="宋体"/>
          <w:b/>
          <w:bCs/>
          <w:sz w:val="24"/>
          <w:lang w:bidi="ar"/>
        </w:rPr>
        <w:t>一、工程概况</w:t>
      </w:r>
    </w:p>
    <w:p w14:paraId="096A7D8B">
      <w:pPr>
        <w:spacing w:line="400" w:lineRule="exact"/>
        <w:ind w:firstLine="420" w:firstLineChars="200"/>
        <w:rPr>
          <w:rFonts w:hint="eastAsia" w:ascii="宋体" w:hAnsi="宋体"/>
          <w:bCs/>
          <w:color w:val="000000"/>
          <w:szCs w:val="21"/>
        </w:rPr>
      </w:pPr>
      <w:r>
        <w:rPr>
          <w:rFonts w:hint="eastAsia" w:ascii="宋体" w:hAnsi="宋体"/>
          <w:bCs/>
          <w:color w:val="000000"/>
          <w:szCs w:val="21"/>
        </w:rPr>
        <w:t>本工程为南京审计大学金审学院西门快递驿站工程。项目位于仙林大学城南京审计大学金审学院。</w:t>
      </w:r>
    </w:p>
    <w:p w14:paraId="555EF1A5">
      <w:pPr>
        <w:spacing w:line="400" w:lineRule="exact"/>
        <w:ind w:firstLine="420" w:firstLineChars="200"/>
        <w:rPr>
          <w:rFonts w:hint="eastAsia" w:ascii="宋体" w:hAnsi="宋体"/>
          <w:bCs/>
          <w:color w:val="000000"/>
          <w:szCs w:val="21"/>
        </w:rPr>
      </w:pPr>
      <w:r>
        <w:rPr>
          <w:rFonts w:hint="eastAsia" w:ascii="宋体" w:hAnsi="宋体"/>
          <w:bCs/>
          <w:color w:val="000000"/>
          <w:szCs w:val="21"/>
        </w:rPr>
        <w:t>本次实施范围：南京审计大学金审学院西门快递驿站工程，主要为土方、主体结构、水电安装等。具体详见工程量清单。</w:t>
      </w:r>
    </w:p>
    <w:p w14:paraId="366930F7">
      <w:pPr>
        <w:spacing w:line="400" w:lineRule="exact"/>
        <w:ind w:left="34" w:leftChars="16" w:firstLine="316" w:firstLineChars="150"/>
        <w:rPr>
          <w:rFonts w:hint="eastAsia" w:ascii="宋体" w:hAnsi="宋体"/>
          <w:b/>
          <w:color w:val="000000"/>
          <w:szCs w:val="21"/>
        </w:rPr>
      </w:pPr>
      <w:r>
        <w:rPr>
          <w:rFonts w:hint="eastAsia" w:ascii="宋体" w:hAnsi="宋体"/>
          <w:b/>
          <w:color w:val="000000"/>
          <w:szCs w:val="21"/>
        </w:rPr>
        <w:t>二、本次编制范围包括：</w:t>
      </w:r>
    </w:p>
    <w:p w14:paraId="7C884E64">
      <w:pPr>
        <w:spacing w:line="400" w:lineRule="exact"/>
        <w:ind w:firstLine="420" w:firstLineChars="200"/>
        <w:rPr>
          <w:rFonts w:hint="eastAsia" w:ascii="宋体" w:hAnsi="宋体"/>
          <w:bCs/>
          <w:color w:val="000000"/>
          <w:szCs w:val="21"/>
        </w:rPr>
      </w:pPr>
      <w:r>
        <w:rPr>
          <w:rFonts w:hint="eastAsia" w:ascii="宋体" w:hAnsi="宋体"/>
          <w:bCs/>
          <w:color w:val="000000"/>
          <w:szCs w:val="21"/>
        </w:rPr>
        <w:t>1.土建、钢结构</w:t>
      </w:r>
      <w:r>
        <w:rPr>
          <w:rFonts w:hint="eastAsia" w:ascii="宋体" w:hAnsi="宋体"/>
          <w:color w:val="000000"/>
          <w:szCs w:val="21"/>
        </w:rPr>
        <w:t>、</w:t>
      </w:r>
      <w:r>
        <w:rPr>
          <w:rFonts w:hint="eastAsia" w:ascii="宋体" w:hAnsi="宋体"/>
          <w:bCs/>
          <w:color w:val="000000"/>
          <w:szCs w:val="21"/>
        </w:rPr>
        <w:t>水电安装工程等，具体详见清单。</w:t>
      </w:r>
    </w:p>
    <w:p w14:paraId="14344A4B">
      <w:pPr>
        <w:spacing w:line="400" w:lineRule="exact"/>
        <w:ind w:firstLine="420" w:firstLineChars="200"/>
        <w:rPr>
          <w:rFonts w:hint="eastAsia" w:ascii="宋体" w:hAnsi="宋体"/>
          <w:bCs/>
          <w:color w:val="000000"/>
          <w:szCs w:val="21"/>
        </w:rPr>
      </w:pPr>
      <w:r>
        <w:rPr>
          <w:rFonts w:hint="eastAsia" w:ascii="宋体" w:hAnsi="宋体"/>
          <w:bCs/>
          <w:color w:val="000000"/>
          <w:szCs w:val="21"/>
        </w:rPr>
        <w:t>2.明确不在本次编制范围工作内容如下：</w:t>
      </w:r>
    </w:p>
    <w:p w14:paraId="3512CB61">
      <w:pPr>
        <w:spacing w:line="400" w:lineRule="exact"/>
        <w:ind w:firstLine="420" w:firstLineChars="200"/>
        <w:rPr>
          <w:rFonts w:hint="eastAsia" w:ascii="宋体" w:hAnsi="宋体"/>
          <w:bCs/>
          <w:color w:val="000000"/>
          <w:szCs w:val="21"/>
        </w:rPr>
      </w:pPr>
      <w:r>
        <w:rPr>
          <w:rFonts w:hint="eastAsia" w:ascii="宋体" w:hAnsi="宋体"/>
          <w:bCs/>
          <w:color w:val="000000"/>
          <w:szCs w:val="21"/>
        </w:rPr>
        <w:t>（1）窗帘、家具、软装；</w:t>
      </w:r>
    </w:p>
    <w:p w14:paraId="2D11218E">
      <w:pPr>
        <w:spacing w:line="400" w:lineRule="exact"/>
        <w:ind w:firstLine="420" w:firstLineChars="200"/>
        <w:rPr>
          <w:rFonts w:hint="eastAsia" w:ascii="宋体" w:hAnsi="宋体" w:cs="宋体"/>
          <w:szCs w:val="21"/>
          <w:highlight w:val="yellow"/>
        </w:rPr>
      </w:pPr>
      <w:r>
        <w:rPr>
          <w:rFonts w:hint="eastAsia" w:ascii="宋体" w:hAnsi="宋体"/>
          <w:bCs/>
          <w:color w:val="000000"/>
          <w:szCs w:val="21"/>
        </w:rPr>
        <w:t>（2）弱电、空调安装等。</w:t>
      </w:r>
    </w:p>
    <w:p w14:paraId="05410BD9">
      <w:pPr>
        <w:spacing w:line="400" w:lineRule="exact"/>
        <w:ind w:left="34" w:leftChars="16" w:firstLine="316" w:firstLineChars="150"/>
        <w:rPr>
          <w:rFonts w:hint="eastAsia" w:ascii="宋体" w:hAnsi="宋体"/>
          <w:b/>
          <w:color w:val="000000"/>
          <w:szCs w:val="21"/>
        </w:rPr>
      </w:pPr>
      <w:r>
        <w:rPr>
          <w:rFonts w:hint="eastAsia" w:ascii="宋体" w:hAnsi="宋体"/>
          <w:b/>
          <w:color w:val="000000"/>
          <w:szCs w:val="21"/>
        </w:rPr>
        <w:t>三、工程量清单编制依据：</w:t>
      </w:r>
    </w:p>
    <w:p w14:paraId="2B702D58">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1.</w:t>
      </w:r>
      <w:r>
        <w:rPr>
          <w:rFonts w:hint="eastAsia" w:ascii="宋体" w:hAnsi="宋体"/>
          <w:color w:val="000000"/>
          <w:szCs w:val="21"/>
        </w:rPr>
        <w:t>中城科泽工程设计集团有限责任公司提供的《南京审计大学金审学院西门快递驿站工程》共计4册（2</w:t>
      </w:r>
      <w:r>
        <w:rPr>
          <w:rFonts w:ascii="宋体" w:hAnsi="宋体"/>
          <w:color w:val="000000"/>
          <w:szCs w:val="21"/>
        </w:rPr>
        <w:t>02</w:t>
      </w:r>
      <w:r>
        <w:rPr>
          <w:rFonts w:hint="eastAsia" w:ascii="宋体" w:hAnsi="宋体"/>
          <w:color w:val="000000"/>
          <w:szCs w:val="21"/>
        </w:rPr>
        <w:t>5年9月</w:t>
      </w:r>
      <w:r>
        <w:rPr>
          <w:rFonts w:hint="eastAsia" w:ascii="宋体" w:hAnsi="宋体"/>
          <w:bCs/>
          <w:color w:val="000000"/>
          <w:szCs w:val="21"/>
        </w:rPr>
        <w:t>份）；</w:t>
      </w:r>
    </w:p>
    <w:p w14:paraId="09885493">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2.《建设工程工程量清单计价规范》</w:t>
      </w:r>
      <w:r>
        <w:rPr>
          <w:rFonts w:ascii="宋体" w:hAnsi="宋体"/>
          <w:bCs/>
          <w:color w:val="000000"/>
          <w:szCs w:val="21"/>
        </w:rPr>
        <w:t>GB50500-20</w:t>
      </w:r>
      <w:r>
        <w:rPr>
          <w:rFonts w:hint="eastAsia" w:ascii="宋体" w:hAnsi="宋体"/>
          <w:bCs/>
          <w:color w:val="000000"/>
          <w:szCs w:val="21"/>
        </w:rPr>
        <w:t>13及《</w:t>
      </w:r>
      <w:r>
        <w:rPr>
          <w:rFonts w:ascii="宋体" w:hAnsi="宋体"/>
          <w:bCs/>
          <w:color w:val="000000"/>
          <w:szCs w:val="21"/>
        </w:rPr>
        <w:t>房屋建筑与装饰工程工程量计算规范</w:t>
      </w:r>
      <w:r>
        <w:rPr>
          <w:rFonts w:hint="eastAsia" w:ascii="宋体" w:hAnsi="宋体"/>
          <w:bCs/>
          <w:color w:val="000000"/>
          <w:szCs w:val="21"/>
        </w:rPr>
        <w:t>》</w:t>
      </w:r>
      <w:r>
        <w:rPr>
          <w:rFonts w:ascii="宋体" w:hAnsi="宋体"/>
          <w:bCs/>
          <w:color w:val="000000"/>
          <w:szCs w:val="21"/>
        </w:rPr>
        <w:t>GB50854-2013</w:t>
      </w:r>
      <w:r>
        <w:rPr>
          <w:rFonts w:hint="eastAsia" w:ascii="宋体" w:hAnsi="宋体"/>
          <w:bCs/>
          <w:color w:val="000000"/>
          <w:szCs w:val="21"/>
        </w:rPr>
        <w:t xml:space="preserve">、《通用安装工程工程量计算规范》GB50856-2013等； </w:t>
      </w:r>
    </w:p>
    <w:p w14:paraId="4E214971">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3.</w:t>
      </w:r>
      <w:bookmarkStart w:id="740" w:name="_Hlk62672536"/>
      <w:r>
        <w:rPr>
          <w:rFonts w:hint="eastAsia" w:ascii="宋体" w:hAnsi="宋体"/>
          <w:bCs/>
          <w:color w:val="000000"/>
          <w:szCs w:val="21"/>
        </w:rPr>
        <w:t>2014年《江苏省建筑与装饰工程计价定额》、2014年《江苏省安装工程计价定额》</w:t>
      </w:r>
      <w:bookmarkEnd w:id="740"/>
      <w:r>
        <w:rPr>
          <w:rFonts w:hint="eastAsia" w:ascii="宋体" w:hAnsi="宋体"/>
          <w:bCs/>
          <w:color w:val="000000"/>
          <w:szCs w:val="21"/>
        </w:rPr>
        <w:t xml:space="preserve">等； </w:t>
      </w:r>
    </w:p>
    <w:p w14:paraId="6E0B5D2C">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4.《江苏省建设工程费用定额》（</w:t>
      </w:r>
      <w:r>
        <w:rPr>
          <w:rFonts w:ascii="宋体" w:hAnsi="宋体"/>
          <w:bCs/>
          <w:color w:val="000000"/>
          <w:szCs w:val="21"/>
        </w:rPr>
        <w:t>20</w:t>
      </w:r>
      <w:r>
        <w:rPr>
          <w:rFonts w:hint="eastAsia" w:ascii="宋体" w:hAnsi="宋体"/>
          <w:bCs/>
          <w:color w:val="000000"/>
          <w:szCs w:val="21"/>
        </w:rPr>
        <w:t xml:space="preserve">14版）及苏建价〔2016〕154号《省住房城乡建设厅关于建筑业实施营改增后江苏省建设工程计价依据调整的通知》等； </w:t>
      </w:r>
    </w:p>
    <w:p w14:paraId="45025B1E">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5.</w:t>
      </w:r>
      <w:r>
        <w:rPr>
          <w:rFonts w:ascii="宋体" w:hAnsi="宋体"/>
          <w:bCs/>
          <w:color w:val="000000"/>
          <w:szCs w:val="21"/>
        </w:rPr>
        <w:t>省住房城乡建设厅关于调整建设工程按质论价等费用计取方法的公告（</w:t>
      </w:r>
      <w:r>
        <w:rPr>
          <w:rFonts w:hint="eastAsia" w:ascii="宋体" w:hAnsi="宋体"/>
          <w:bCs/>
          <w:color w:val="000000"/>
          <w:szCs w:val="21"/>
        </w:rPr>
        <w:t>〔2018〕</w:t>
      </w:r>
      <w:r>
        <w:rPr>
          <w:rFonts w:ascii="宋体" w:hAnsi="宋体"/>
          <w:bCs/>
          <w:color w:val="000000"/>
          <w:szCs w:val="21"/>
        </w:rPr>
        <w:t>第 24 号）</w:t>
      </w:r>
      <w:r>
        <w:rPr>
          <w:rFonts w:hint="eastAsia" w:ascii="宋体" w:hAnsi="宋体"/>
          <w:bCs/>
          <w:color w:val="000000"/>
          <w:szCs w:val="21"/>
        </w:rPr>
        <w:t>；</w:t>
      </w:r>
    </w:p>
    <w:p w14:paraId="066E6ABD">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6.</w:t>
      </w:r>
      <w:r>
        <w:rPr>
          <w:rFonts w:ascii="宋体" w:hAnsi="宋体"/>
          <w:bCs/>
          <w:color w:val="000000"/>
          <w:szCs w:val="21"/>
        </w:rPr>
        <w:t>关于建筑工人实名制费用计取方法的公告（江苏省住建厅〔2019〕第 19 号）</w:t>
      </w:r>
      <w:r>
        <w:rPr>
          <w:rFonts w:hint="eastAsia" w:ascii="宋体" w:hAnsi="宋体"/>
          <w:bCs/>
          <w:color w:val="000000"/>
          <w:szCs w:val="21"/>
        </w:rPr>
        <w:t>；</w:t>
      </w:r>
    </w:p>
    <w:p w14:paraId="55018A28">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7.人工工资江苏省住房和城乡建设厅文件《省住房城乡建设厅关于发布建设工程人工工资指导价的通知》（苏建函价〔2025〕273号文）；</w:t>
      </w:r>
    </w:p>
    <w:p w14:paraId="371E14E5">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8.主要材料价格依据《南京市造价管理》第8期，未有的参照市场价；</w:t>
      </w:r>
    </w:p>
    <w:p w14:paraId="18147268">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9.</w:t>
      </w:r>
      <w:r>
        <w:rPr>
          <w:rFonts w:ascii="宋体" w:hAnsi="宋体"/>
          <w:bCs/>
          <w:color w:val="000000"/>
          <w:szCs w:val="21"/>
        </w:rPr>
        <w:t>相关标准图集以及现行有关清单编制文件</w:t>
      </w:r>
      <w:r>
        <w:rPr>
          <w:rFonts w:hint="eastAsia" w:ascii="宋体" w:hAnsi="宋体"/>
          <w:bCs/>
          <w:color w:val="000000"/>
          <w:szCs w:val="21"/>
        </w:rPr>
        <w:t>；</w:t>
      </w:r>
    </w:p>
    <w:p w14:paraId="6375B1C2">
      <w:pPr>
        <w:spacing w:line="360" w:lineRule="auto"/>
        <w:ind w:firstLine="420" w:firstLineChars="200"/>
        <w:rPr>
          <w:rFonts w:hint="eastAsia" w:ascii="宋体" w:hAnsi="宋体"/>
          <w:color w:val="000000"/>
          <w:szCs w:val="21"/>
        </w:rPr>
      </w:pPr>
      <w:r>
        <w:rPr>
          <w:rFonts w:hint="eastAsia" w:ascii="宋体" w:hAnsi="宋体" w:cs="宋体"/>
          <w:color w:val="000000"/>
          <w:szCs w:val="21"/>
        </w:rPr>
        <w:t>10.其他江苏省、</w:t>
      </w:r>
      <w:r>
        <w:rPr>
          <w:rFonts w:hint="eastAsia" w:ascii="宋体" w:hAnsi="宋体"/>
          <w:bCs/>
          <w:color w:val="000000"/>
          <w:szCs w:val="21"/>
        </w:rPr>
        <w:t>南京市相</w:t>
      </w:r>
      <w:r>
        <w:rPr>
          <w:rFonts w:hint="eastAsia" w:ascii="宋体" w:hAnsi="宋体" w:cs="宋体"/>
          <w:color w:val="000000"/>
          <w:szCs w:val="21"/>
        </w:rPr>
        <w:t>关规定及计价文件</w:t>
      </w:r>
      <w:r>
        <w:rPr>
          <w:rFonts w:hint="eastAsia" w:ascii="宋体" w:hAnsi="宋体"/>
          <w:color w:val="000000"/>
          <w:szCs w:val="21"/>
        </w:rPr>
        <w:t>。</w:t>
      </w:r>
    </w:p>
    <w:p w14:paraId="35313F3C">
      <w:pPr>
        <w:tabs>
          <w:tab w:val="left" w:pos="720"/>
        </w:tabs>
        <w:spacing w:line="360" w:lineRule="auto"/>
        <w:ind w:firstLine="422" w:firstLineChars="200"/>
        <w:rPr>
          <w:rFonts w:hint="eastAsia" w:ascii="宋体" w:hAnsi="宋体"/>
          <w:b/>
          <w:color w:val="000000"/>
          <w:szCs w:val="21"/>
        </w:rPr>
      </w:pPr>
      <w:r>
        <w:rPr>
          <w:rFonts w:hint="eastAsia" w:ascii="宋体" w:hAnsi="宋体"/>
          <w:b/>
          <w:color w:val="000000"/>
          <w:szCs w:val="21"/>
        </w:rPr>
        <w:t>四、质量要求：详见招标文件相关内容。</w:t>
      </w:r>
    </w:p>
    <w:p w14:paraId="3D53BFE2">
      <w:pPr>
        <w:tabs>
          <w:tab w:val="left" w:pos="720"/>
        </w:tabs>
        <w:spacing w:line="360" w:lineRule="auto"/>
        <w:ind w:firstLine="422" w:firstLineChars="200"/>
        <w:rPr>
          <w:rFonts w:hint="eastAsia" w:ascii="宋体" w:hAnsi="宋体" w:cs="宋体"/>
          <w:color w:val="000000"/>
          <w:sz w:val="24"/>
        </w:rPr>
      </w:pPr>
      <w:r>
        <w:rPr>
          <w:rFonts w:hint="eastAsia" w:ascii="宋体" w:hAnsi="宋体"/>
          <w:b/>
          <w:color w:val="000000"/>
          <w:szCs w:val="21"/>
        </w:rPr>
        <w:t>五、暂列金额：详见工程量清单</w:t>
      </w:r>
      <w:r>
        <w:rPr>
          <w:rFonts w:hint="eastAsia" w:ascii="宋体" w:hAnsi="宋体" w:cs="宋体"/>
          <w:color w:val="000000"/>
          <w:sz w:val="24"/>
        </w:rPr>
        <w:t>。</w:t>
      </w:r>
    </w:p>
    <w:p w14:paraId="50F507D5">
      <w:pPr>
        <w:spacing w:line="400" w:lineRule="exact"/>
        <w:ind w:firstLine="105" w:firstLineChars="50"/>
        <w:rPr>
          <w:rFonts w:hint="eastAsia" w:ascii="宋体" w:hAnsi="宋体"/>
          <w:b/>
          <w:color w:val="000000"/>
          <w:szCs w:val="21"/>
        </w:rPr>
      </w:pPr>
      <w:r>
        <w:rPr>
          <w:rFonts w:hint="eastAsia" w:ascii="宋体" w:hAnsi="宋体"/>
          <w:b/>
          <w:color w:val="000000"/>
          <w:szCs w:val="21"/>
        </w:rPr>
        <w:t>六、工程量清单编制中需说明的事项</w:t>
      </w:r>
    </w:p>
    <w:p w14:paraId="633A6233">
      <w:pPr>
        <w:numPr>
          <w:ilvl w:val="0"/>
          <w:numId w:val="8"/>
        </w:numPr>
        <w:tabs>
          <w:tab w:val="left" w:pos="567"/>
          <w:tab w:val="left" w:pos="851"/>
        </w:tabs>
        <w:spacing w:line="400" w:lineRule="exact"/>
        <w:rPr>
          <w:rFonts w:hint="eastAsia" w:ascii="宋体" w:hAnsi="宋体"/>
          <w:b/>
          <w:color w:val="000000"/>
          <w:szCs w:val="21"/>
        </w:rPr>
      </w:pPr>
      <w:r>
        <w:rPr>
          <w:rFonts w:hint="eastAsia" w:ascii="宋体" w:hAnsi="宋体"/>
          <w:b/>
          <w:color w:val="000000"/>
          <w:szCs w:val="21"/>
        </w:rPr>
        <w:t>共性问题</w:t>
      </w:r>
    </w:p>
    <w:p w14:paraId="51D626FA">
      <w:pPr>
        <w:spacing w:line="400" w:lineRule="exact"/>
        <w:ind w:firstLine="420" w:firstLineChars="200"/>
        <w:rPr>
          <w:rFonts w:hint="eastAsia" w:ascii="宋体" w:hAnsi="宋体"/>
          <w:color w:val="000000"/>
          <w:szCs w:val="21"/>
        </w:rPr>
      </w:pPr>
      <w:r>
        <w:rPr>
          <w:rFonts w:hint="eastAsia" w:ascii="宋体" w:hAnsi="宋体"/>
          <w:color w:val="000000"/>
          <w:szCs w:val="21"/>
        </w:rPr>
        <w:t>1.投标人必须充分勘查现场实际情况，充分了解并分析施工条件，考虑各类不利因素；工程施工所需水、电、路、渣土堆放、施工通道等是否满足施工需求；自行考虑材料运输及堆场、机械进退场所必须的临时道路、场地硬化费用</w:t>
      </w:r>
      <w:r>
        <w:rPr>
          <w:rFonts w:hint="eastAsia" w:ascii="宋体" w:hAnsi="宋体"/>
          <w:bCs/>
          <w:color w:val="000000"/>
          <w:szCs w:val="21"/>
        </w:rPr>
        <w:t>，对于现场是否满足所有临时设施、施工场地的搭设要求，请投标人在报价中充分考虑本项目施工的特殊性，结算时不得增加与此有关的费用。</w:t>
      </w:r>
    </w:p>
    <w:p w14:paraId="1FA2269B">
      <w:pPr>
        <w:spacing w:line="400" w:lineRule="exact"/>
        <w:ind w:firstLine="420" w:firstLineChars="200"/>
        <w:rPr>
          <w:rFonts w:hint="eastAsia" w:ascii="宋体" w:hAnsi="宋体"/>
          <w:bCs/>
          <w:color w:val="000000"/>
          <w:szCs w:val="21"/>
        </w:rPr>
      </w:pPr>
      <w:r>
        <w:rPr>
          <w:rFonts w:hint="eastAsia" w:ascii="宋体" w:hAnsi="宋体"/>
          <w:bCs/>
          <w:color w:val="000000"/>
          <w:szCs w:val="21"/>
        </w:rPr>
        <w:t>2.所有提及的说明不区分专业工程或部位等，适用于本工程所有相关项目。</w:t>
      </w:r>
    </w:p>
    <w:p w14:paraId="2AAFBD5C">
      <w:pPr>
        <w:spacing w:line="400" w:lineRule="exact"/>
        <w:ind w:firstLine="420" w:firstLineChars="200"/>
        <w:rPr>
          <w:rFonts w:hint="eastAsia" w:ascii="宋体" w:hAnsi="宋体"/>
          <w:color w:val="000000"/>
          <w:szCs w:val="21"/>
        </w:rPr>
      </w:pPr>
      <w:r>
        <w:rPr>
          <w:rFonts w:hint="eastAsia" w:ascii="宋体" w:hAnsi="宋体"/>
          <w:color w:val="000000"/>
          <w:szCs w:val="21"/>
        </w:rPr>
        <w:t>3.</w:t>
      </w:r>
      <w:r>
        <w:rPr>
          <w:rFonts w:hint="eastAsia" w:ascii="宋体" w:hAnsi="宋体"/>
          <w:bCs/>
          <w:color w:val="000000"/>
          <w:szCs w:val="21"/>
        </w:rPr>
        <w:t>本项目对于材料的运输、施工时间的限制、施工场地和临设场地的影响等，请投标人在报价中充分考虑，结算时不得增加与此有关的费用</w:t>
      </w:r>
      <w:r>
        <w:rPr>
          <w:rFonts w:hint="eastAsia" w:ascii="宋体" w:hAnsi="宋体"/>
          <w:color w:val="000000"/>
          <w:szCs w:val="21"/>
        </w:rPr>
        <w:t>。</w:t>
      </w:r>
    </w:p>
    <w:p w14:paraId="33003CFA">
      <w:pPr>
        <w:spacing w:line="400" w:lineRule="exact"/>
        <w:ind w:firstLine="420" w:firstLineChars="200"/>
        <w:rPr>
          <w:rFonts w:hint="eastAsia" w:ascii="宋体" w:hAnsi="宋体"/>
          <w:bCs/>
          <w:color w:val="000000"/>
          <w:szCs w:val="21"/>
        </w:rPr>
      </w:pPr>
      <w:r>
        <w:rPr>
          <w:rFonts w:hint="eastAsia" w:ascii="宋体" w:hAnsi="宋体"/>
          <w:bCs/>
          <w:color w:val="000000"/>
          <w:szCs w:val="21"/>
        </w:rPr>
        <w:t>4.</w:t>
      </w:r>
      <w:r>
        <w:rPr>
          <w:rFonts w:hint="eastAsia" w:ascii="宋体" w:hAnsi="宋体"/>
          <w:color w:val="000000"/>
          <w:szCs w:val="21"/>
        </w:rPr>
        <w:t>本工程</w:t>
      </w:r>
      <w:r>
        <w:rPr>
          <w:rFonts w:hint="eastAsia" w:ascii="宋体" w:hAnsi="宋体" w:cs="宋体"/>
          <w:color w:val="000000"/>
          <w:szCs w:val="21"/>
        </w:rPr>
        <w:t>对于江苏省、南京市相关部门对工程施工要求所发的文件规定，特别是对于工程围挡、扬尘控制等的要求，请投标人在报价中充分考虑，结算时不得增加与此有关的费用。</w:t>
      </w:r>
    </w:p>
    <w:p w14:paraId="2B301265">
      <w:pPr>
        <w:spacing w:line="400" w:lineRule="exact"/>
        <w:ind w:firstLine="420" w:firstLineChars="200"/>
        <w:rPr>
          <w:rFonts w:hint="eastAsia" w:ascii="宋体" w:hAnsi="宋体"/>
          <w:bCs/>
          <w:color w:val="000000"/>
          <w:szCs w:val="21"/>
        </w:rPr>
      </w:pPr>
      <w:r>
        <w:rPr>
          <w:rFonts w:hint="eastAsia" w:ascii="宋体" w:hAnsi="宋体"/>
          <w:bCs/>
          <w:color w:val="000000"/>
          <w:szCs w:val="21"/>
        </w:rPr>
        <w:t>5.</w:t>
      </w:r>
      <w:r>
        <w:rPr>
          <w:rFonts w:hint="eastAsia" w:ascii="宋体" w:hAnsi="宋体"/>
          <w:color w:val="000000"/>
          <w:szCs w:val="21"/>
        </w:rPr>
        <w:t>投标人必须就政府行政管理部门的有关政府性要求和变化综合考虑可能产生的相关费用，如社会活动、防洪防汛防灾、环境整治、公共安全治理等引起的停工、窝工、机械停滞费、降效等损失和费用增加等，除发包人认为可以顺延工期的情况外，将不再另行顺延工期，且不做任何费用补偿和费用调整。</w:t>
      </w:r>
    </w:p>
    <w:p w14:paraId="6E3E82C8">
      <w:pPr>
        <w:spacing w:line="400" w:lineRule="exact"/>
        <w:ind w:firstLine="420" w:firstLineChars="200"/>
        <w:rPr>
          <w:rFonts w:hint="eastAsia" w:ascii="宋体" w:hAnsi="宋体"/>
          <w:bCs/>
          <w:color w:val="000000"/>
          <w:szCs w:val="21"/>
        </w:rPr>
      </w:pPr>
      <w:r>
        <w:rPr>
          <w:rFonts w:hint="eastAsia" w:ascii="宋体" w:hAnsi="宋体"/>
          <w:bCs/>
          <w:color w:val="000000"/>
          <w:szCs w:val="21"/>
        </w:rPr>
        <w:t>6.</w:t>
      </w:r>
      <w:r>
        <w:rPr>
          <w:rFonts w:hint="eastAsia" w:ascii="宋体" w:hAnsi="宋体"/>
          <w:color w:val="000000"/>
          <w:szCs w:val="21"/>
        </w:rPr>
        <w:t>部分做法参照原图纸做法，请投标人自行踏勘现场。</w:t>
      </w:r>
    </w:p>
    <w:p w14:paraId="6F2C278B">
      <w:pPr>
        <w:numPr>
          <w:ilvl w:val="0"/>
          <w:numId w:val="8"/>
        </w:numPr>
        <w:spacing w:line="400" w:lineRule="exact"/>
        <w:rPr>
          <w:rFonts w:hint="eastAsia" w:ascii="宋体" w:hAnsi="宋体"/>
          <w:b/>
          <w:color w:val="000000"/>
          <w:szCs w:val="21"/>
        </w:rPr>
      </w:pPr>
      <w:r>
        <w:rPr>
          <w:rFonts w:hint="eastAsia" w:ascii="宋体" w:hAnsi="宋体"/>
          <w:b/>
          <w:color w:val="000000"/>
          <w:szCs w:val="21"/>
        </w:rPr>
        <w:t>土建工程</w:t>
      </w:r>
    </w:p>
    <w:p w14:paraId="0BF5E720">
      <w:pPr>
        <w:spacing w:line="400" w:lineRule="exact"/>
        <w:ind w:firstLine="420" w:firstLineChars="200"/>
        <w:rPr>
          <w:rFonts w:hint="eastAsia" w:ascii="宋体" w:hAnsi="宋体"/>
          <w:color w:val="000000"/>
          <w:szCs w:val="21"/>
        </w:rPr>
      </w:pPr>
      <w:r>
        <w:rPr>
          <w:rFonts w:hint="eastAsia" w:ascii="宋体" w:hAnsi="宋体"/>
          <w:color w:val="000000"/>
          <w:szCs w:val="21"/>
        </w:rPr>
        <w:t>1、外墙挑檐、凸出外墙装饰构件、吧台的装饰板包装暂按2mm铝板考虑，投标人实际报价及施工时需要考虑专业厂家的二次深化设计（结算时不调整）；</w:t>
      </w:r>
    </w:p>
    <w:p w14:paraId="73B07231">
      <w:pPr>
        <w:spacing w:line="400" w:lineRule="exact"/>
        <w:ind w:firstLine="420" w:firstLineChars="200"/>
        <w:rPr>
          <w:rFonts w:hint="eastAsia" w:ascii="宋体" w:hAnsi="宋体"/>
          <w:color w:val="000000"/>
          <w:szCs w:val="21"/>
        </w:rPr>
      </w:pPr>
      <w:r>
        <w:rPr>
          <w:rFonts w:hint="eastAsia" w:ascii="宋体" w:hAnsi="宋体"/>
          <w:color w:val="000000"/>
          <w:szCs w:val="21"/>
        </w:rPr>
        <w:t>2.铝板、石材、成品门等外饰面材料规格、颜色、材质、表面处理方式须经发包人确认后采购。</w:t>
      </w:r>
    </w:p>
    <w:p w14:paraId="5319AB26">
      <w:pPr>
        <w:spacing w:line="400" w:lineRule="exact"/>
        <w:ind w:firstLine="420" w:firstLineChars="200"/>
        <w:rPr>
          <w:rFonts w:hint="eastAsia" w:ascii="宋体" w:hAnsi="宋体"/>
          <w:color w:val="000000"/>
          <w:szCs w:val="21"/>
        </w:rPr>
      </w:pPr>
      <w:r>
        <w:rPr>
          <w:rFonts w:hint="eastAsia" w:ascii="宋体" w:hAnsi="宋体"/>
          <w:color w:val="000000"/>
          <w:szCs w:val="21"/>
        </w:rPr>
        <w:t>3.墙面板、隔断等的分部分项工程，投标人在报价时，须将开关、插座等洞口开孔、修补费用计入综合单价和合价中，竣工结算时，招标人不另计此项费用。</w:t>
      </w:r>
    </w:p>
    <w:p w14:paraId="1AC7B9A2">
      <w:pPr>
        <w:spacing w:line="400" w:lineRule="exact"/>
        <w:ind w:firstLine="420" w:firstLineChars="200"/>
        <w:rPr>
          <w:rFonts w:hint="eastAsia" w:ascii="宋体" w:hAnsi="宋体"/>
          <w:color w:val="000000"/>
          <w:szCs w:val="21"/>
        </w:rPr>
      </w:pPr>
      <w:r>
        <w:rPr>
          <w:rFonts w:hint="eastAsia" w:ascii="宋体" w:hAnsi="宋体"/>
          <w:color w:val="000000"/>
          <w:szCs w:val="21"/>
        </w:rPr>
        <w:t>4.所有装饰装修用木材均应进行防火、防虫处理，与建筑主体接触的木楔、木砖、木装饰装修的基层板应进行防潮、防腐和防火处理，木材防腐剂应采用不得含沥青材料的防腐剂，投标人报价时综合考虑此费用，结算不因此调整综合单价。</w:t>
      </w:r>
    </w:p>
    <w:p w14:paraId="7B2933BF">
      <w:pPr>
        <w:spacing w:line="400" w:lineRule="exact"/>
        <w:ind w:firstLine="420" w:firstLineChars="200"/>
        <w:rPr>
          <w:rFonts w:hint="eastAsia" w:ascii="宋体" w:hAnsi="宋体"/>
          <w:color w:val="000000"/>
          <w:szCs w:val="21"/>
        </w:rPr>
      </w:pPr>
      <w:r>
        <w:rPr>
          <w:rFonts w:hint="eastAsia" w:ascii="宋体" w:hAnsi="宋体"/>
          <w:color w:val="000000"/>
          <w:szCs w:val="21"/>
        </w:rPr>
        <w:t>5.镀锌型材经切割、钻孔、焊接之后应进行防锈保护层的修补，投标人报价时综合考虑此费用，结算不因此调整综合单价。</w:t>
      </w:r>
    </w:p>
    <w:p w14:paraId="76B3138E">
      <w:pPr>
        <w:spacing w:line="400" w:lineRule="exact"/>
        <w:ind w:firstLine="420" w:firstLineChars="200"/>
        <w:rPr>
          <w:rFonts w:hint="eastAsia" w:ascii="宋体" w:hAnsi="宋体"/>
          <w:color w:val="000000"/>
          <w:szCs w:val="21"/>
        </w:rPr>
      </w:pPr>
      <w:r>
        <w:rPr>
          <w:rFonts w:hint="eastAsia" w:ascii="宋体" w:hAnsi="宋体"/>
          <w:color w:val="000000"/>
          <w:szCs w:val="21"/>
        </w:rPr>
        <w:t>6.所有门窗做法需满足设计、规范及验收标准；工程结算面积按实际安装前门窗框外围尺寸计算，投标单位自行考虑报价。</w:t>
      </w:r>
    </w:p>
    <w:p w14:paraId="4F022173">
      <w:pPr>
        <w:spacing w:line="400" w:lineRule="exact"/>
        <w:ind w:firstLine="420" w:firstLineChars="200"/>
        <w:rPr>
          <w:rFonts w:hint="eastAsia" w:ascii="宋体" w:hAnsi="宋体"/>
          <w:color w:val="000000"/>
          <w:szCs w:val="21"/>
        </w:rPr>
      </w:pPr>
      <w:r>
        <w:rPr>
          <w:rFonts w:hint="eastAsia" w:ascii="宋体" w:hAnsi="宋体"/>
          <w:color w:val="000000"/>
          <w:szCs w:val="21"/>
        </w:rPr>
        <w:t>7.施工图设计以外的防粉刷层空鼓开裂措施（如加铺玻纤网格布、钢丝网等）、防渗漏措施，由投标人在报价中充分考虑，结算时不得增加相关费用。</w:t>
      </w:r>
    </w:p>
    <w:p w14:paraId="1FCA2427">
      <w:pPr>
        <w:spacing w:line="400" w:lineRule="exact"/>
        <w:ind w:firstLine="420" w:firstLineChars="200"/>
        <w:rPr>
          <w:rFonts w:hint="eastAsia" w:ascii="宋体" w:hAnsi="宋体"/>
          <w:color w:val="000000"/>
          <w:szCs w:val="21"/>
        </w:rPr>
      </w:pPr>
      <w:r>
        <w:rPr>
          <w:rFonts w:hint="eastAsia" w:ascii="宋体" w:hAnsi="宋体"/>
          <w:color w:val="000000"/>
          <w:szCs w:val="21"/>
        </w:rPr>
        <w:t>8.各类打胶（耐候胶、玻璃胶）含在所报综合单价中，不另行结算。</w:t>
      </w:r>
    </w:p>
    <w:p w14:paraId="28D9AACF">
      <w:pPr>
        <w:spacing w:line="400" w:lineRule="exact"/>
        <w:ind w:firstLine="420" w:firstLineChars="200"/>
        <w:rPr>
          <w:rFonts w:hint="eastAsia" w:ascii="宋体" w:hAnsi="宋体"/>
          <w:color w:val="000000"/>
          <w:szCs w:val="21"/>
        </w:rPr>
      </w:pPr>
      <w:r>
        <w:rPr>
          <w:rFonts w:hint="eastAsia" w:ascii="宋体" w:hAnsi="宋体"/>
          <w:color w:val="000000"/>
          <w:szCs w:val="21"/>
        </w:rPr>
        <w:t>9.综合考虑各项工作内容所涉及的穿墙、穿板、打洞、开槽、穿梁、绕梁、套管、开孔、封堵、修补等一系列相关内容，请投标单位按规范，图纸要求自行考虑在单价中，施工中不另签证。</w:t>
      </w:r>
    </w:p>
    <w:p w14:paraId="417A9B58">
      <w:pPr>
        <w:spacing w:line="400" w:lineRule="exact"/>
        <w:ind w:firstLine="420" w:firstLineChars="200"/>
        <w:rPr>
          <w:rFonts w:hint="eastAsia" w:ascii="宋体" w:hAnsi="宋体"/>
          <w:color w:val="000000"/>
          <w:szCs w:val="21"/>
        </w:rPr>
      </w:pPr>
      <w:r>
        <w:rPr>
          <w:rFonts w:hint="eastAsia" w:ascii="宋体" w:hAnsi="宋体"/>
          <w:color w:val="000000"/>
          <w:szCs w:val="21"/>
        </w:rPr>
        <w:t>10.各种管道孔（含水、电、燃气、电信等公共基础配套设施所涉及的管道孔洞）的预留、填补及防水、金属构件与墙体连接填补及防水，管线暗埋的开槽刨沟及砼面压槽、电表箱、配电箱及消火栓箱等预留（含预留木盒制作、安装、拆除、清理、洞口填缝及饰面修补等），请投标人在报价充分考虑，竣工结算时不予调整。</w:t>
      </w:r>
    </w:p>
    <w:p w14:paraId="17A65823">
      <w:pPr>
        <w:spacing w:line="400" w:lineRule="exact"/>
        <w:ind w:firstLine="420" w:firstLineChars="200"/>
        <w:rPr>
          <w:rFonts w:hint="eastAsia" w:ascii="宋体" w:hAnsi="宋体"/>
          <w:color w:val="000000"/>
          <w:szCs w:val="21"/>
        </w:rPr>
      </w:pPr>
      <w:r>
        <w:rPr>
          <w:rFonts w:hint="eastAsia" w:ascii="宋体" w:hAnsi="宋体"/>
          <w:color w:val="000000"/>
          <w:szCs w:val="21"/>
        </w:rPr>
        <w:t>11.钢结构、幕墙、构造节点等，如部分设计图纸节点不详细的、不完整，投标人自行细化补充报价，实施之前需二次深化设计，并报原设计单位确认后方施工，结算时单价不调整。</w:t>
      </w:r>
    </w:p>
    <w:p w14:paraId="638FF008">
      <w:pPr>
        <w:autoSpaceDE w:val="0"/>
        <w:spacing w:line="400" w:lineRule="exact"/>
        <w:ind w:firstLine="420" w:firstLineChars="200"/>
        <w:rPr>
          <w:rFonts w:hint="eastAsia" w:ascii="宋体" w:hAnsi="宋体"/>
          <w:color w:val="000000"/>
          <w:szCs w:val="21"/>
        </w:rPr>
      </w:pPr>
      <w:r>
        <w:rPr>
          <w:rFonts w:hint="eastAsia" w:ascii="宋体" w:hAnsi="宋体"/>
          <w:color w:val="000000"/>
          <w:szCs w:val="21"/>
        </w:rPr>
        <w:t>12.混凝土墙、柱、梁、天棚、零星构件表面等实际不抹灰，涂料及腻子不增加费用。</w:t>
      </w:r>
    </w:p>
    <w:p w14:paraId="23F86163">
      <w:pPr>
        <w:autoSpaceDN w:val="0"/>
        <w:spacing w:line="400" w:lineRule="exact"/>
        <w:ind w:firstLine="420" w:firstLineChars="200"/>
        <w:rPr>
          <w:rFonts w:hint="eastAsia" w:ascii="宋体" w:hAnsi="宋体"/>
          <w:bCs/>
          <w:color w:val="000000"/>
          <w:szCs w:val="21"/>
        </w:rPr>
      </w:pPr>
      <w:r>
        <w:rPr>
          <w:rFonts w:hint="eastAsia" w:ascii="宋体" w:hAnsi="宋体"/>
          <w:bCs/>
          <w:color w:val="000000"/>
          <w:szCs w:val="21"/>
        </w:rPr>
        <w:t>13.材料质量应确保通过消防、节能、环保（包括室内环境、甲醇含量等）等第三方检测及消防、环保验收，由质量不合格引起的后果由施工单位承担。如环保、消防检测不合格，视为工程项目不合格。</w:t>
      </w:r>
    </w:p>
    <w:p w14:paraId="0ABCDDD2">
      <w:pPr>
        <w:autoSpaceDE w:val="0"/>
        <w:spacing w:line="400" w:lineRule="exact"/>
        <w:ind w:firstLine="420" w:firstLineChars="200"/>
        <w:rPr>
          <w:rFonts w:hint="eastAsia" w:ascii="宋体" w:hAnsi="宋体"/>
          <w:color w:val="000000"/>
          <w:szCs w:val="21"/>
        </w:rPr>
      </w:pPr>
      <w:r>
        <w:rPr>
          <w:rFonts w:hint="eastAsia" w:ascii="宋体" w:hAnsi="宋体"/>
          <w:color w:val="000000"/>
          <w:szCs w:val="21"/>
        </w:rPr>
        <w:t>14.关于成品保护：新旧拆除交接处，必须切割整齐后再拆除。装饰工程所报综合单价均需考虑成品保护费用，结算时不另行计算。</w:t>
      </w:r>
    </w:p>
    <w:p w14:paraId="0A968660">
      <w:pPr>
        <w:autoSpaceDE w:val="0"/>
        <w:spacing w:line="400" w:lineRule="exact"/>
        <w:ind w:firstLine="422" w:firstLineChars="200"/>
        <w:rPr>
          <w:rFonts w:hint="eastAsia" w:ascii="宋体" w:hAnsi="宋体"/>
          <w:b/>
          <w:bCs/>
          <w:color w:val="000000"/>
          <w:szCs w:val="21"/>
        </w:rPr>
      </w:pPr>
      <w:r>
        <w:rPr>
          <w:rFonts w:hint="eastAsia" w:ascii="宋体" w:hAnsi="宋体"/>
          <w:b/>
          <w:bCs/>
          <w:color w:val="000000"/>
          <w:szCs w:val="21"/>
        </w:rPr>
        <w:t>（三）安装工程</w:t>
      </w:r>
    </w:p>
    <w:p w14:paraId="4BADD67C">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1.本项目仅包含水电安装工程；</w:t>
      </w:r>
    </w:p>
    <w:p w14:paraId="670A2311">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2、弱电工程，本次清单编制未考虑；</w:t>
      </w:r>
    </w:p>
    <w:p w14:paraId="0AF04315">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3、图纸未描述具体参数时清单按常规规格考虑，主材价格综合考虑；</w:t>
      </w:r>
    </w:p>
    <w:p w14:paraId="3E4A326E">
      <w:pPr>
        <w:tabs>
          <w:tab w:val="left" w:pos="720"/>
        </w:tabs>
        <w:spacing w:line="360" w:lineRule="auto"/>
        <w:ind w:firstLine="420" w:firstLineChars="200"/>
        <w:rPr>
          <w:rFonts w:hint="eastAsia" w:ascii="宋体" w:hAnsi="宋体"/>
          <w:bCs/>
          <w:color w:val="000000"/>
          <w:szCs w:val="21"/>
        </w:rPr>
      </w:pPr>
      <w:r>
        <w:rPr>
          <w:rFonts w:hint="eastAsia" w:ascii="宋体" w:hAnsi="宋体"/>
          <w:bCs/>
          <w:color w:val="000000"/>
          <w:szCs w:val="21"/>
        </w:rPr>
        <w:t>4、本项目采购的所有材料需经业主选型后方可安装。</w:t>
      </w:r>
    </w:p>
    <w:p w14:paraId="3F7D6979">
      <w:pPr>
        <w:spacing w:line="400" w:lineRule="exact"/>
        <w:ind w:left="34" w:leftChars="16" w:firstLine="420" w:firstLineChars="199"/>
        <w:rPr>
          <w:rFonts w:hint="eastAsia" w:ascii="宋体" w:hAnsi="宋体"/>
          <w:b/>
          <w:color w:val="000000"/>
          <w:szCs w:val="21"/>
        </w:rPr>
      </w:pPr>
      <w:r>
        <w:rPr>
          <w:rFonts w:hint="eastAsia" w:ascii="宋体" w:hAnsi="宋体"/>
          <w:b/>
          <w:color w:val="000000"/>
          <w:szCs w:val="21"/>
        </w:rPr>
        <w:t>五、材料说明：</w:t>
      </w:r>
    </w:p>
    <w:p w14:paraId="494413AF">
      <w:pPr>
        <w:tabs>
          <w:tab w:val="left" w:pos="1127"/>
        </w:tabs>
        <w:spacing w:line="400" w:lineRule="exact"/>
        <w:ind w:firstLine="420" w:firstLineChars="200"/>
        <w:rPr>
          <w:rFonts w:hint="eastAsia" w:ascii="宋体" w:hAnsi="宋体"/>
          <w:color w:val="000000"/>
          <w:szCs w:val="21"/>
        </w:rPr>
      </w:pPr>
      <w:r>
        <w:rPr>
          <w:rFonts w:hint="eastAsia" w:ascii="宋体" w:hAnsi="宋体"/>
          <w:color w:val="000000"/>
          <w:szCs w:val="21"/>
        </w:rPr>
        <w:t>1.砼：所有砼必须采用商品砼，砼是否采用泵送由各投标人自行考虑，结算时不作调整，砼应根据设计图纸及规范要求掺加外加剂，其费用含在投标报价中，结算时不作调整。</w:t>
      </w:r>
    </w:p>
    <w:p w14:paraId="53B3FA6A">
      <w:pPr>
        <w:tabs>
          <w:tab w:val="left" w:pos="1127"/>
        </w:tabs>
        <w:spacing w:line="400" w:lineRule="exact"/>
        <w:ind w:firstLine="420" w:firstLineChars="200"/>
        <w:rPr>
          <w:rFonts w:hint="eastAsia" w:ascii="宋体" w:hAnsi="宋体"/>
          <w:color w:val="000000"/>
          <w:szCs w:val="21"/>
        </w:rPr>
      </w:pPr>
      <w:r>
        <w:rPr>
          <w:rFonts w:hint="eastAsia" w:ascii="宋体" w:hAnsi="宋体"/>
          <w:color w:val="000000"/>
          <w:szCs w:val="21"/>
        </w:rPr>
        <w:t>2.砂浆：本次招标砂浆按预拌砂浆考虑，现场使用干拌或湿拌由投标人自行考虑，结算时不作调整。</w:t>
      </w:r>
    </w:p>
    <w:p w14:paraId="3A9A862E">
      <w:pPr>
        <w:tabs>
          <w:tab w:val="left" w:pos="1127"/>
        </w:tabs>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3.所有材料必须符合国家、江苏省、南京市验收规范。</w:t>
      </w:r>
    </w:p>
    <w:p w14:paraId="551A6C19">
      <w:pPr>
        <w:tabs>
          <w:tab w:val="left" w:pos="1127"/>
        </w:tabs>
        <w:spacing w:line="400" w:lineRule="exact"/>
        <w:ind w:firstLine="420" w:firstLineChars="200"/>
        <w:rPr>
          <w:rFonts w:hint="eastAsia" w:ascii="华文细黑" w:hAnsi="华文细黑" w:eastAsia="华文细黑" w:cs="华文细黑"/>
          <w:color w:val="000000"/>
          <w:sz w:val="20"/>
          <w:szCs w:val="20"/>
          <w:lang w:bidi="ar"/>
        </w:rPr>
      </w:pPr>
      <w:r>
        <w:rPr>
          <w:rFonts w:hint="eastAsia" w:ascii="宋体" w:hAnsi="宋体" w:cs="宋体"/>
          <w:color w:val="000000"/>
          <w:szCs w:val="21"/>
        </w:rPr>
        <w:t>4.材料需按物料表要求，</w:t>
      </w:r>
      <w:r>
        <w:rPr>
          <w:rFonts w:ascii="华文细黑" w:hAnsi="华文细黑" w:eastAsia="华文细黑" w:cs="华文细黑"/>
          <w:color w:val="000000"/>
          <w:sz w:val="20"/>
          <w:szCs w:val="20"/>
          <w:lang w:bidi="ar"/>
        </w:rPr>
        <w:t>厂家生产前须提供材料样品经甲方、设计单位确认</w:t>
      </w:r>
      <w:r>
        <w:rPr>
          <w:rFonts w:hint="eastAsia" w:ascii="华文细黑" w:hAnsi="华文细黑" w:eastAsia="华文细黑" w:cs="华文细黑"/>
          <w:color w:val="000000"/>
          <w:sz w:val="20"/>
          <w:szCs w:val="20"/>
          <w:lang w:bidi="ar"/>
        </w:rPr>
        <w:t>后方可生产。</w:t>
      </w:r>
    </w:p>
    <w:p w14:paraId="71B1EFAB">
      <w:pPr>
        <w:tabs>
          <w:tab w:val="left" w:pos="1127"/>
        </w:tabs>
        <w:spacing w:line="400" w:lineRule="exact"/>
        <w:ind w:firstLine="420" w:firstLineChars="200"/>
        <w:rPr>
          <w:rFonts w:hint="eastAsia" w:ascii="宋体" w:hAnsi="宋体"/>
          <w:color w:val="000000"/>
          <w:szCs w:val="21"/>
        </w:rPr>
      </w:pPr>
      <w:r>
        <w:rPr>
          <w:rFonts w:hint="eastAsia" w:ascii="宋体" w:hAnsi="宋体" w:cs="宋体"/>
          <w:color w:val="000000"/>
          <w:szCs w:val="21"/>
        </w:rPr>
        <w:t>5.各类材料材质及参数均需满足设计图纸及设计说明。</w:t>
      </w:r>
    </w:p>
    <w:p w14:paraId="5244653C">
      <w:pPr>
        <w:tabs>
          <w:tab w:val="left" w:pos="1127"/>
        </w:tabs>
        <w:spacing w:line="400" w:lineRule="exact"/>
        <w:ind w:firstLine="420" w:firstLineChars="200"/>
        <w:rPr>
          <w:rFonts w:hint="eastAsia" w:ascii="宋体" w:hAnsi="宋体"/>
          <w:color w:val="000000"/>
          <w:szCs w:val="21"/>
        </w:rPr>
      </w:pPr>
      <w:r>
        <w:rPr>
          <w:rFonts w:hint="eastAsia" w:ascii="宋体" w:hAnsi="宋体"/>
          <w:color w:val="000000"/>
          <w:szCs w:val="21"/>
        </w:rPr>
        <w:t>6.材料品牌：</w:t>
      </w:r>
    </w:p>
    <w:tbl>
      <w:tblPr>
        <w:tblStyle w:val="45"/>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0"/>
        <w:gridCol w:w="2824"/>
        <w:gridCol w:w="236"/>
        <w:gridCol w:w="5090"/>
      </w:tblGrid>
      <w:tr w14:paraId="55AB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15" w:type="dxa"/>
            <w:tcBorders>
              <w:top w:val="single" w:color="auto" w:sz="4" w:space="0"/>
              <w:left w:val="single" w:color="auto" w:sz="4" w:space="0"/>
              <w:bottom w:val="single" w:color="auto" w:sz="4" w:space="0"/>
              <w:right w:val="single" w:color="auto" w:sz="4" w:space="0"/>
            </w:tcBorders>
            <w:vAlign w:val="center"/>
          </w:tcPr>
          <w:p w14:paraId="24ECA137">
            <w:pPr>
              <w:widowControl/>
              <w:jc w:val="center"/>
              <w:textAlignment w:val="center"/>
              <w:rPr>
                <w:color w:val="000000"/>
              </w:rPr>
            </w:pPr>
            <w:r>
              <w:rPr>
                <w:rFonts w:hint="eastAsia" w:ascii="宋体" w:hAnsi="宋体" w:cs="宋体"/>
                <w:b/>
                <w:color w:val="000000"/>
                <w:szCs w:val="21"/>
              </w:rPr>
              <w:t>序号</w:t>
            </w:r>
          </w:p>
        </w:tc>
        <w:tc>
          <w:tcPr>
            <w:tcW w:w="2924" w:type="dxa"/>
            <w:gridSpan w:val="2"/>
            <w:tcBorders>
              <w:top w:val="single" w:color="auto" w:sz="4" w:space="0"/>
              <w:left w:val="single" w:color="auto" w:sz="4" w:space="0"/>
              <w:bottom w:val="single" w:color="auto" w:sz="4" w:space="0"/>
              <w:right w:val="single" w:color="auto" w:sz="4" w:space="0"/>
            </w:tcBorders>
            <w:vAlign w:val="center"/>
          </w:tcPr>
          <w:p w14:paraId="24F17C78">
            <w:pPr>
              <w:widowControl/>
              <w:jc w:val="center"/>
              <w:textAlignment w:val="center"/>
              <w:rPr>
                <w:color w:val="000000"/>
              </w:rPr>
            </w:pPr>
            <w:r>
              <w:rPr>
                <w:rFonts w:hint="eastAsia" w:ascii="宋体" w:hAnsi="宋体" w:cs="宋体"/>
                <w:b/>
                <w:color w:val="000000"/>
                <w:szCs w:val="21"/>
              </w:rPr>
              <w:t>材料名称</w:t>
            </w:r>
          </w:p>
        </w:tc>
        <w:tc>
          <w:tcPr>
            <w:tcW w:w="5326" w:type="dxa"/>
            <w:gridSpan w:val="2"/>
            <w:tcBorders>
              <w:top w:val="single" w:color="auto" w:sz="4" w:space="0"/>
              <w:left w:val="single" w:color="auto" w:sz="4" w:space="0"/>
              <w:bottom w:val="single" w:color="auto" w:sz="4" w:space="0"/>
              <w:right w:val="single" w:color="auto" w:sz="4" w:space="0"/>
            </w:tcBorders>
            <w:vAlign w:val="center"/>
          </w:tcPr>
          <w:p w14:paraId="5F40D7FD">
            <w:pPr>
              <w:widowControl/>
              <w:jc w:val="center"/>
              <w:textAlignment w:val="center"/>
              <w:rPr>
                <w:color w:val="000000"/>
              </w:rPr>
            </w:pPr>
            <w:r>
              <w:rPr>
                <w:rFonts w:hint="eastAsia" w:ascii="宋体" w:hAnsi="宋体" w:cs="宋体"/>
                <w:b/>
                <w:color w:val="000000"/>
                <w:szCs w:val="21"/>
              </w:rPr>
              <w:t>材料品牌（参照或相当于同档次及以上品牌）</w:t>
            </w:r>
          </w:p>
        </w:tc>
      </w:tr>
      <w:tr w14:paraId="457D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9165" w:type="dxa"/>
            <w:gridSpan w:val="5"/>
            <w:tcBorders>
              <w:top w:val="single" w:color="auto" w:sz="4" w:space="0"/>
              <w:left w:val="single" w:color="auto" w:sz="4" w:space="0"/>
              <w:bottom w:val="single" w:color="auto" w:sz="4" w:space="0"/>
              <w:right w:val="single" w:color="auto" w:sz="4" w:space="0"/>
            </w:tcBorders>
            <w:vAlign w:val="center"/>
          </w:tcPr>
          <w:p w14:paraId="1C5D61CE">
            <w:pPr>
              <w:widowControl/>
              <w:jc w:val="center"/>
              <w:textAlignment w:val="center"/>
              <w:rPr>
                <w:rFonts w:ascii="宋体"/>
                <w:color w:val="000000"/>
              </w:rPr>
            </w:pPr>
            <w:r>
              <w:rPr>
                <w:rFonts w:hint="eastAsia" w:ascii="宋体" w:hAnsi="宋体" w:cs="宋体"/>
                <w:color w:val="000000"/>
                <w:szCs w:val="21"/>
              </w:rPr>
              <w:t>土建部分</w:t>
            </w:r>
          </w:p>
        </w:tc>
      </w:tr>
      <w:tr w14:paraId="3C9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915" w:type="dxa"/>
            <w:tcBorders>
              <w:top w:val="single" w:color="auto" w:sz="4" w:space="0"/>
              <w:left w:val="single" w:color="auto" w:sz="4" w:space="0"/>
              <w:bottom w:val="single" w:color="auto" w:sz="4" w:space="0"/>
              <w:right w:val="single" w:color="auto" w:sz="4" w:space="0"/>
            </w:tcBorders>
            <w:vAlign w:val="center"/>
          </w:tcPr>
          <w:p w14:paraId="093602D4">
            <w:pPr>
              <w:widowControl/>
              <w:jc w:val="center"/>
              <w:textAlignment w:val="center"/>
              <w:rPr>
                <w:rFonts w:ascii="宋体"/>
                <w:color w:val="000000"/>
              </w:rPr>
            </w:pPr>
            <w:r>
              <w:rPr>
                <w:rFonts w:hint="eastAsia" w:ascii="宋体" w:hAnsi="宋体" w:cs="宋体"/>
                <w:color w:val="000000"/>
                <w:szCs w:val="21"/>
              </w:rPr>
              <w:t>1</w:t>
            </w:r>
          </w:p>
        </w:tc>
        <w:tc>
          <w:tcPr>
            <w:tcW w:w="2924" w:type="dxa"/>
            <w:gridSpan w:val="2"/>
            <w:tcBorders>
              <w:top w:val="single" w:color="auto" w:sz="4" w:space="0"/>
              <w:left w:val="single" w:color="auto" w:sz="4" w:space="0"/>
              <w:bottom w:val="single" w:color="auto" w:sz="4" w:space="0"/>
              <w:right w:val="single" w:color="auto" w:sz="4" w:space="0"/>
            </w:tcBorders>
            <w:vAlign w:val="center"/>
          </w:tcPr>
          <w:p w14:paraId="78173E8D">
            <w:pPr>
              <w:widowControl/>
              <w:jc w:val="center"/>
              <w:textAlignment w:val="center"/>
              <w:rPr>
                <w:rFonts w:ascii="宋体"/>
                <w:color w:val="000000"/>
              </w:rPr>
            </w:pPr>
            <w:r>
              <w:rPr>
                <w:rFonts w:hint="eastAsia" w:ascii="宋体" w:hAnsi="宋体" w:cs="宋体"/>
                <w:color w:val="000000"/>
                <w:szCs w:val="21"/>
              </w:rPr>
              <w:t>钢材（除HTRB630）</w:t>
            </w:r>
          </w:p>
        </w:tc>
        <w:tc>
          <w:tcPr>
            <w:tcW w:w="5326" w:type="dxa"/>
            <w:gridSpan w:val="2"/>
            <w:tcBorders>
              <w:top w:val="single" w:color="auto" w:sz="4" w:space="0"/>
              <w:left w:val="single" w:color="auto" w:sz="4" w:space="0"/>
              <w:bottom w:val="single" w:color="auto" w:sz="4" w:space="0"/>
              <w:right w:val="single" w:color="auto" w:sz="4" w:space="0"/>
            </w:tcBorders>
            <w:vAlign w:val="center"/>
          </w:tcPr>
          <w:p w14:paraId="2EC7A8A0">
            <w:pPr>
              <w:widowControl/>
              <w:jc w:val="center"/>
              <w:textAlignment w:val="center"/>
              <w:rPr>
                <w:rFonts w:ascii="宋体"/>
                <w:color w:val="000000"/>
              </w:rPr>
            </w:pPr>
            <w:r>
              <w:rPr>
                <w:rFonts w:hint="eastAsia" w:ascii="宋体" w:hAnsi="宋体" w:cs="宋体"/>
                <w:color w:val="000000"/>
                <w:szCs w:val="21"/>
              </w:rPr>
              <w:t>南钢、沙钢、永钢</w:t>
            </w:r>
          </w:p>
        </w:tc>
      </w:tr>
      <w:tr w14:paraId="5141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15" w:type="dxa"/>
            <w:tcBorders>
              <w:top w:val="single" w:color="auto" w:sz="4" w:space="0"/>
              <w:left w:val="single" w:color="auto" w:sz="4" w:space="0"/>
              <w:bottom w:val="single" w:color="auto" w:sz="4" w:space="0"/>
              <w:right w:val="single" w:color="auto" w:sz="4" w:space="0"/>
            </w:tcBorders>
            <w:vAlign w:val="center"/>
          </w:tcPr>
          <w:p w14:paraId="66EEF893">
            <w:pPr>
              <w:widowControl/>
              <w:jc w:val="center"/>
              <w:textAlignment w:val="center"/>
              <w:rPr>
                <w:rFonts w:ascii="宋体"/>
                <w:color w:val="000000"/>
              </w:rPr>
            </w:pPr>
            <w:r>
              <w:rPr>
                <w:rFonts w:hint="eastAsia" w:ascii="宋体" w:hAnsi="宋体" w:cs="宋体"/>
                <w:color w:val="000000"/>
                <w:szCs w:val="21"/>
              </w:rPr>
              <w:t>2</w:t>
            </w:r>
          </w:p>
        </w:tc>
        <w:tc>
          <w:tcPr>
            <w:tcW w:w="2924" w:type="dxa"/>
            <w:gridSpan w:val="2"/>
            <w:tcBorders>
              <w:top w:val="single" w:color="auto" w:sz="4" w:space="0"/>
              <w:left w:val="single" w:color="auto" w:sz="4" w:space="0"/>
              <w:bottom w:val="single" w:color="auto" w:sz="4" w:space="0"/>
              <w:right w:val="single" w:color="auto" w:sz="4" w:space="0"/>
            </w:tcBorders>
            <w:vAlign w:val="center"/>
          </w:tcPr>
          <w:p w14:paraId="78C315DC">
            <w:pPr>
              <w:widowControl/>
              <w:jc w:val="center"/>
              <w:textAlignment w:val="center"/>
              <w:rPr>
                <w:rFonts w:ascii="宋体"/>
                <w:color w:val="000000"/>
              </w:rPr>
            </w:pPr>
            <w:r>
              <w:rPr>
                <w:rFonts w:hint="eastAsia" w:ascii="宋体" w:hAnsi="宋体" w:cs="宋体"/>
                <w:color w:val="000000"/>
                <w:szCs w:val="21"/>
              </w:rPr>
              <w:t>水泥</w:t>
            </w:r>
          </w:p>
        </w:tc>
        <w:tc>
          <w:tcPr>
            <w:tcW w:w="5326" w:type="dxa"/>
            <w:gridSpan w:val="2"/>
            <w:tcBorders>
              <w:top w:val="single" w:color="auto" w:sz="4" w:space="0"/>
              <w:left w:val="single" w:color="auto" w:sz="4" w:space="0"/>
              <w:bottom w:val="single" w:color="auto" w:sz="4" w:space="0"/>
              <w:right w:val="single" w:color="auto" w:sz="4" w:space="0"/>
            </w:tcBorders>
            <w:vAlign w:val="center"/>
          </w:tcPr>
          <w:p w14:paraId="6F2A9FCA">
            <w:pPr>
              <w:widowControl/>
              <w:jc w:val="center"/>
              <w:textAlignment w:val="center"/>
              <w:rPr>
                <w:rFonts w:ascii="宋体"/>
                <w:color w:val="000000"/>
              </w:rPr>
            </w:pPr>
            <w:r>
              <w:rPr>
                <w:rFonts w:hint="eastAsia" w:ascii="宋体" w:hAnsi="宋体" w:cs="宋体"/>
                <w:color w:val="000000"/>
                <w:szCs w:val="21"/>
              </w:rPr>
              <w:t>海螺、江南、华润</w:t>
            </w:r>
          </w:p>
        </w:tc>
      </w:tr>
      <w:tr w14:paraId="72D8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15" w:type="dxa"/>
            <w:tcBorders>
              <w:top w:val="single" w:color="auto" w:sz="4" w:space="0"/>
              <w:left w:val="single" w:color="auto" w:sz="4" w:space="0"/>
              <w:bottom w:val="single" w:color="auto" w:sz="4" w:space="0"/>
              <w:right w:val="single" w:color="auto" w:sz="4" w:space="0"/>
            </w:tcBorders>
            <w:vAlign w:val="center"/>
          </w:tcPr>
          <w:p w14:paraId="46AE3758">
            <w:pPr>
              <w:widowControl/>
              <w:jc w:val="center"/>
              <w:textAlignment w:val="center"/>
              <w:rPr>
                <w:rFonts w:hint="eastAsia" w:ascii="宋体" w:hAnsi="宋体" w:cs="宋体"/>
                <w:color w:val="000000"/>
                <w:szCs w:val="21"/>
              </w:rPr>
            </w:pPr>
            <w:r>
              <w:rPr>
                <w:rFonts w:hint="eastAsia" w:ascii="宋体" w:hAnsi="宋体" w:cs="宋体"/>
                <w:color w:val="000000"/>
                <w:szCs w:val="21"/>
              </w:rPr>
              <w:t>3</w:t>
            </w:r>
          </w:p>
        </w:tc>
        <w:tc>
          <w:tcPr>
            <w:tcW w:w="2924" w:type="dxa"/>
            <w:gridSpan w:val="2"/>
            <w:tcBorders>
              <w:top w:val="single" w:color="auto" w:sz="4" w:space="0"/>
              <w:left w:val="single" w:color="auto" w:sz="4" w:space="0"/>
              <w:bottom w:val="single" w:color="auto" w:sz="4" w:space="0"/>
              <w:right w:val="single" w:color="auto" w:sz="4" w:space="0"/>
            </w:tcBorders>
            <w:vAlign w:val="center"/>
          </w:tcPr>
          <w:p w14:paraId="248DFB25">
            <w:pPr>
              <w:widowControl/>
              <w:jc w:val="center"/>
              <w:textAlignment w:val="center"/>
              <w:rPr>
                <w:rFonts w:hint="eastAsia" w:ascii="宋体" w:hAnsi="宋体" w:cs="宋体"/>
                <w:color w:val="000000"/>
                <w:szCs w:val="21"/>
              </w:rPr>
            </w:pPr>
            <w:r>
              <w:rPr>
                <w:rFonts w:hint="eastAsia" w:ascii="宋体" w:hAnsi="宋体" w:cs="宋体"/>
                <w:color w:val="000000"/>
                <w:szCs w:val="21"/>
              </w:rPr>
              <w:t>防水材料</w:t>
            </w:r>
          </w:p>
        </w:tc>
        <w:tc>
          <w:tcPr>
            <w:tcW w:w="5326" w:type="dxa"/>
            <w:gridSpan w:val="2"/>
            <w:tcBorders>
              <w:top w:val="single" w:color="auto" w:sz="4" w:space="0"/>
              <w:left w:val="single" w:color="auto" w:sz="4" w:space="0"/>
              <w:bottom w:val="single" w:color="auto" w:sz="4" w:space="0"/>
              <w:right w:val="single" w:color="auto" w:sz="4" w:space="0"/>
            </w:tcBorders>
            <w:vAlign w:val="center"/>
          </w:tcPr>
          <w:p w14:paraId="75E87B8D">
            <w:pPr>
              <w:widowControl/>
              <w:jc w:val="center"/>
              <w:textAlignment w:val="center"/>
              <w:rPr>
                <w:rFonts w:hint="eastAsia" w:ascii="宋体" w:hAnsi="宋体" w:cs="宋体"/>
                <w:color w:val="000000"/>
                <w:szCs w:val="21"/>
              </w:rPr>
            </w:pPr>
            <w:r>
              <w:rPr>
                <w:rFonts w:hint="eastAsia" w:ascii="宋体" w:hAnsi="宋体" w:cs="宋体"/>
                <w:color w:val="000000"/>
                <w:szCs w:val="21"/>
              </w:rPr>
              <w:t>东方雨虹、大禹、禹王</w:t>
            </w:r>
          </w:p>
        </w:tc>
      </w:tr>
      <w:tr w14:paraId="7DF6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5" w:type="dxa"/>
            <w:tcBorders>
              <w:top w:val="single" w:color="auto" w:sz="4" w:space="0"/>
              <w:left w:val="single" w:color="auto" w:sz="4" w:space="0"/>
              <w:bottom w:val="single" w:color="auto" w:sz="4" w:space="0"/>
              <w:right w:val="single" w:color="auto" w:sz="4" w:space="0"/>
            </w:tcBorders>
            <w:vAlign w:val="center"/>
          </w:tcPr>
          <w:p w14:paraId="01DDA17E">
            <w:pPr>
              <w:widowControl/>
              <w:jc w:val="center"/>
              <w:textAlignment w:val="center"/>
              <w:rPr>
                <w:rFonts w:ascii="宋体"/>
                <w:color w:val="000000"/>
              </w:rPr>
            </w:pPr>
            <w:r>
              <w:rPr>
                <w:rFonts w:hint="eastAsia" w:ascii="宋体" w:hAnsi="宋体" w:cs="宋体"/>
                <w:color w:val="000000"/>
                <w:szCs w:val="21"/>
              </w:rPr>
              <w:t>5</w:t>
            </w:r>
          </w:p>
        </w:tc>
        <w:tc>
          <w:tcPr>
            <w:tcW w:w="2924" w:type="dxa"/>
            <w:gridSpan w:val="2"/>
            <w:tcBorders>
              <w:top w:val="single" w:color="auto" w:sz="4" w:space="0"/>
              <w:left w:val="single" w:color="auto" w:sz="4" w:space="0"/>
              <w:bottom w:val="single" w:color="auto" w:sz="4" w:space="0"/>
              <w:right w:val="single" w:color="auto" w:sz="4" w:space="0"/>
            </w:tcBorders>
            <w:vAlign w:val="center"/>
          </w:tcPr>
          <w:p w14:paraId="2E88FE2B">
            <w:pPr>
              <w:widowControl/>
              <w:jc w:val="center"/>
              <w:textAlignment w:val="center"/>
              <w:rPr>
                <w:rFonts w:ascii="宋体"/>
                <w:color w:val="000000"/>
                <w:szCs w:val="21"/>
              </w:rPr>
            </w:pPr>
            <w:r>
              <w:rPr>
                <w:rFonts w:hint="eastAsia" w:ascii="宋体" w:hAnsi="宋体" w:cs="宋体"/>
                <w:color w:val="000000"/>
                <w:szCs w:val="21"/>
              </w:rPr>
              <w:t>涂料</w:t>
            </w:r>
          </w:p>
        </w:tc>
        <w:tc>
          <w:tcPr>
            <w:tcW w:w="5326" w:type="dxa"/>
            <w:gridSpan w:val="2"/>
            <w:tcBorders>
              <w:top w:val="single" w:color="auto" w:sz="4" w:space="0"/>
              <w:left w:val="single" w:color="auto" w:sz="4" w:space="0"/>
              <w:bottom w:val="single" w:color="auto" w:sz="4" w:space="0"/>
              <w:right w:val="single" w:color="auto" w:sz="4" w:space="0"/>
            </w:tcBorders>
            <w:vAlign w:val="center"/>
          </w:tcPr>
          <w:p w14:paraId="588B9595">
            <w:pPr>
              <w:widowControl/>
              <w:jc w:val="center"/>
              <w:textAlignment w:val="center"/>
              <w:rPr>
                <w:rFonts w:ascii="宋体" w:cs="宋体"/>
                <w:color w:val="000000"/>
                <w:sz w:val="24"/>
              </w:rPr>
            </w:pPr>
            <w:r>
              <w:rPr>
                <w:rFonts w:hint="eastAsia" w:ascii="宋体" w:hAnsi="宋体" w:cs="宋体"/>
                <w:color w:val="000000"/>
                <w:szCs w:val="21"/>
              </w:rPr>
              <w:t>多乐士、立邦、三棵树</w:t>
            </w:r>
          </w:p>
        </w:tc>
      </w:tr>
      <w:tr w14:paraId="7AA3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165" w:type="dxa"/>
            <w:gridSpan w:val="5"/>
            <w:tcBorders>
              <w:top w:val="single" w:color="auto" w:sz="4" w:space="0"/>
              <w:left w:val="single" w:color="auto" w:sz="4" w:space="0"/>
              <w:bottom w:val="single" w:color="auto" w:sz="4" w:space="0"/>
              <w:right w:val="single" w:color="auto" w:sz="4" w:space="0"/>
            </w:tcBorders>
            <w:vAlign w:val="center"/>
          </w:tcPr>
          <w:p w14:paraId="6F6B18CE">
            <w:pPr>
              <w:widowControl/>
              <w:jc w:val="center"/>
              <w:textAlignment w:val="center"/>
              <w:rPr>
                <w:rFonts w:hint="eastAsia" w:ascii="宋体" w:hAnsi="宋体" w:cs="宋体"/>
                <w:color w:val="000000"/>
                <w:szCs w:val="21"/>
              </w:rPr>
            </w:pPr>
            <w:r>
              <w:rPr>
                <w:rFonts w:hint="eastAsia" w:ascii="宋体" w:hAnsi="宋体" w:cs="宋体"/>
                <w:color w:val="000000"/>
                <w:szCs w:val="21"/>
              </w:rPr>
              <w:t>安装部分</w:t>
            </w:r>
          </w:p>
        </w:tc>
      </w:tr>
      <w:tr w14:paraId="02BD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6CA1DD85">
            <w:pPr>
              <w:widowControl/>
              <w:jc w:val="center"/>
              <w:textAlignment w:val="center"/>
              <w:rPr>
                <w:rFonts w:hint="eastAsia" w:ascii="宋体" w:hAnsi="宋体" w:cs="宋体"/>
                <w:color w:val="000000"/>
                <w:szCs w:val="21"/>
              </w:rPr>
            </w:pPr>
            <w:r>
              <w:rPr>
                <w:rFonts w:hint="eastAsia" w:ascii="宋体" w:hAnsi="宋体" w:cs="宋体"/>
                <w:color w:val="000000"/>
                <w:szCs w:val="21"/>
              </w:rPr>
              <w:t>1</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18BC3739">
            <w:pPr>
              <w:widowControl/>
              <w:jc w:val="center"/>
              <w:textAlignment w:val="center"/>
              <w:rPr>
                <w:rFonts w:hint="eastAsia" w:ascii="宋体" w:hAnsi="宋体" w:cs="宋体"/>
                <w:color w:val="000000"/>
                <w:szCs w:val="21"/>
              </w:rPr>
            </w:pPr>
            <w:r>
              <w:rPr>
                <w:rFonts w:hint="eastAsia" w:ascii="宋体" w:hAnsi="宋体" w:cs="宋体"/>
                <w:color w:val="000000"/>
                <w:szCs w:val="21"/>
              </w:rPr>
              <w:t>配电柜、箱主要元器件应选用</w:t>
            </w:r>
          </w:p>
        </w:tc>
        <w:tc>
          <w:tcPr>
            <w:tcW w:w="5090" w:type="dxa"/>
            <w:tcBorders>
              <w:top w:val="single" w:color="auto" w:sz="4" w:space="0"/>
              <w:left w:val="single" w:color="auto" w:sz="4" w:space="0"/>
              <w:bottom w:val="single" w:color="auto" w:sz="4" w:space="0"/>
              <w:right w:val="single" w:color="auto" w:sz="4" w:space="0"/>
            </w:tcBorders>
            <w:vAlign w:val="center"/>
          </w:tcPr>
          <w:p w14:paraId="079F3B96">
            <w:pPr>
              <w:widowControl/>
              <w:jc w:val="center"/>
              <w:textAlignment w:val="center"/>
              <w:rPr>
                <w:rFonts w:hint="eastAsia" w:ascii="宋体" w:hAnsi="宋体" w:cs="宋体"/>
                <w:color w:val="000000"/>
                <w:szCs w:val="21"/>
              </w:rPr>
            </w:pPr>
            <w:r>
              <w:rPr>
                <w:rFonts w:hint="eastAsia" w:ascii="宋体" w:hAnsi="宋体" w:cs="宋体"/>
                <w:color w:val="000000"/>
                <w:szCs w:val="21"/>
              </w:rPr>
              <w:t>施耐德、ABB、西门子</w:t>
            </w:r>
          </w:p>
        </w:tc>
      </w:tr>
      <w:tr w14:paraId="36EF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3CEE6247">
            <w:pPr>
              <w:widowControl/>
              <w:jc w:val="center"/>
              <w:textAlignment w:val="center"/>
              <w:rPr>
                <w:rFonts w:hint="eastAsia" w:ascii="宋体" w:hAnsi="宋体" w:cs="宋体"/>
                <w:color w:val="000000"/>
                <w:szCs w:val="21"/>
              </w:rPr>
            </w:pPr>
            <w:r>
              <w:rPr>
                <w:rFonts w:hint="eastAsia" w:ascii="宋体" w:hAnsi="宋体" w:cs="宋体"/>
                <w:color w:val="000000"/>
                <w:szCs w:val="21"/>
              </w:rPr>
              <w:t>2</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203D1803">
            <w:pPr>
              <w:widowControl/>
              <w:jc w:val="center"/>
              <w:textAlignment w:val="center"/>
              <w:rPr>
                <w:rFonts w:hint="eastAsia" w:ascii="宋体" w:hAnsi="宋体" w:cs="宋体"/>
                <w:color w:val="000000"/>
                <w:szCs w:val="21"/>
              </w:rPr>
            </w:pPr>
            <w:r>
              <w:rPr>
                <w:rFonts w:hint="eastAsia" w:ascii="宋体" w:hAnsi="宋体" w:cs="宋体"/>
                <w:color w:val="000000"/>
                <w:szCs w:val="21"/>
              </w:rPr>
              <w:t>镀锌钢管、焊接钢管</w:t>
            </w:r>
          </w:p>
        </w:tc>
        <w:tc>
          <w:tcPr>
            <w:tcW w:w="5090" w:type="dxa"/>
            <w:tcBorders>
              <w:top w:val="single" w:color="auto" w:sz="4" w:space="0"/>
              <w:left w:val="single" w:color="auto" w:sz="4" w:space="0"/>
              <w:bottom w:val="single" w:color="auto" w:sz="4" w:space="0"/>
              <w:right w:val="single" w:color="auto" w:sz="4" w:space="0"/>
            </w:tcBorders>
            <w:vAlign w:val="center"/>
          </w:tcPr>
          <w:p w14:paraId="62CEE9E1">
            <w:pPr>
              <w:widowControl/>
              <w:jc w:val="center"/>
              <w:textAlignment w:val="center"/>
              <w:rPr>
                <w:rFonts w:hint="eastAsia" w:ascii="宋体" w:hAnsi="宋体" w:cs="宋体"/>
                <w:color w:val="000000"/>
                <w:szCs w:val="21"/>
              </w:rPr>
            </w:pPr>
            <w:r>
              <w:rPr>
                <w:rFonts w:hint="eastAsia" w:ascii="宋体" w:hAnsi="宋体" w:cs="宋体"/>
                <w:color w:val="000000"/>
                <w:szCs w:val="21"/>
              </w:rPr>
              <w:t>天津友发、国强、湖光</w:t>
            </w:r>
          </w:p>
        </w:tc>
      </w:tr>
      <w:tr w14:paraId="0E31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1349CF37">
            <w:pPr>
              <w:widowControl/>
              <w:jc w:val="center"/>
              <w:textAlignment w:val="center"/>
              <w:rPr>
                <w:rFonts w:hint="eastAsia" w:ascii="宋体" w:hAnsi="宋体" w:cs="宋体"/>
                <w:color w:val="000000"/>
                <w:szCs w:val="21"/>
              </w:rPr>
            </w:pPr>
            <w:r>
              <w:rPr>
                <w:rFonts w:hint="eastAsia" w:ascii="宋体" w:hAnsi="宋体" w:cs="宋体"/>
                <w:color w:val="000000"/>
                <w:szCs w:val="21"/>
              </w:rPr>
              <w:t>3</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119F2B0E">
            <w:pPr>
              <w:widowControl/>
              <w:jc w:val="center"/>
              <w:textAlignment w:val="center"/>
              <w:rPr>
                <w:rFonts w:hint="eastAsia" w:ascii="宋体" w:hAnsi="宋体" w:cs="宋体"/>
                <w:color w:val="000000"/>
                <w:szCs w:val="21"/>
              </w:rPr>
            </w:pPr>
            <w:r>
              <w:rPr>
                <w:rFonts w:hint="eastAsia" w:ascii="宋体" w:hAnsi="宋体" w:cs="宋体"/>
                <w:color w:val="000000"/>
                <w:szCs w:val="21"/>
              </w:rPr>
              <w:t>电线、电缆</w:t>
            </w:r>
          </w:p>
        </w:tc>
        <w:tc>
          <w:tcPr>
            <w:tcW w:w="5090" w:type="dxa"/>
            <w:tcBorders>
              <w:top w:val="single" w:color="auto" w:sz="4" w:space="0"/>
              <w:left w:val="single" w:color="auto" w:sz="4" w:space="0"/>
              <w:bottom w:val="single" w:color="auto" w:sz="4" w:space="0"/>
              <w:right w:val="single" w:color="auto" w:sz="4" w:space="0"/>
            </w:tcBorders>
            <w:vAlign w:val="center"/>
          </w:tcPr>
          <w:p w14:paraId="224362CC">
            <w:pPr>
              <w:widowControl/>
              <w:ind w:firstLine="1050" w:firstLineChars="500"/>
              <w:textAlignment w:val="center"/>
              <w:rPr>
                <w:rFonts w:hint="eastAsia" w:ascii="宋体" w:hAnsi="宋体" w:cs="宋体"/>
                <w:color w:val="000000"/>
                <w:szCs w:val="21"/>
              </w:rPr>
            </w:pPr>
            <w:r>
              <w:rPr>
                <w:rFonts w:hint="eastAsia" w:ascii="宋体" w:hAnsi="宋体" w:cs="宋体"/>
                <w:color w:val="000000"/>
                <w:szCs w:val="21"/>
              </w:rPr>
              <w:t>远东、无锡江南、上上</w:t>
            </w:r>
          </w:p>
        </w:tc>
      </w:tr>
      <w:tr w14:paraId="2DE7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2D6EEBBB">
            <w:pPr>
              <w:widowControl/>
              <w:jc w:val="center"/>
              <w:textAlignment w:val="center"/>
              <w:rPr>
                <w:rFonts w:hint="eastAsia" w:ascii="宋体" w:hAnsi="宋体" w:cs="宋体"/>
                <w:color w:val="000000"/>
                <w:szCs w:val="21"/>
              </w:rPr>
            </w:pPr>
            <w:r>
              <w:rPr>
                <w:rFonts w:hint="eastAsia" w:ascii="宋体" w:hAnsi="宋体" w:cs="宋体"/>
                <w:color w:val="000000"/>
                <w:szCs w:val="21"/>
              </w:rPr>
              <w:t>4</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13562DB1">
            <w:pPr>
              <w:widowControl/>
              <w:jc w:val="center"/>
              <w:textAlignment w:val="center"/>
              <w:rPr>
                <w:rFonts w:hint="eastAsia" w:ascii="宋体" w:hAnsi="宋体" w:cs="宋体"/>
                <w:color w:val="000000"/>
                <w:szCs w:val="21"/>
              </w:rPr>
            </w:pPr>
            <w:r>
              <w:rPr>
                <w:rFonts w:hint="eastAsia" w:ascii="宋体" w:hAnsi="宋体" w:cs="宋体"/>
                <w:color w:val="000000"/>
                <w:szCs w:val="21"/>
              </w:rPr>
              <w:t>灯具</w:t>
            </w:r>
          </w:p>
        </w:tc>
        <w:tc>
          <w:tcPr>
            <w:tcW w:w="5090" w:type="dxa"/>
            <w:tcBorders>
              <w:top w:val="single" w:color="auto" w:sz="4" w:space="0"/>
              <w:left w:val="single" w:color="auto" w:sz="4" w:space="0"/>
              <w:bottom w:val="single" w:color="auto" w:sz="4" w:space="0"/>
              <w:right w:val="single" w:color="auto" w:sz="4" w:space="0"/>
            </w:tcBorders>
            <w:vAlign w:val="center"/>
          </w:tcPr>
          <w:p w14:paraId="6C23A116">
            <w:pPr>
              <w:widowControl/>
              <w:jc w:val="center"/>
              <w:textAlignment w:val="center"/>
              <w:rPr>
                <w:rFonts w:hint="eastAsia" w:ascii="宋体" w:hAnsi="宋体" w:cs="宋体"/>
                <w:color w:val="000000"/>
                <w:szCs w:val="21"/>
              </w:rPr>
            </w:pPr>
            <w:r>
              <w:rPr>
                <w:rFonts w:hint="eastAsia" w:ascii="宋体" w:hAnsi="宋体" w:cs="宋体"/>
                <w:color w:val="000000"/>
                <w:szCs w:val="21"/>
              </w:rPr>
              <w:t>雷士、欧普、飞利浦</w:t>
            </w:r>
          </w:p>
        </w:tc>
      </w:tr>
      <w:tr w14:paraId="6BEF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2D21B750">
            <w:pPr>
              <w:widowControl/>
              <w:jc w:val="center"/>
              <w:textAlignment w:val="center"/>
              <w:rPr>
                <w:rFonts w:hint="eastAsia" w:ascii="宋体" w:hAnsi="宋体" w:cs="宋体"/>
                <w:color w:val="000000"/>
                <w:szCs w:val="21"/>
              </w:rPr>
            </w:pPr>
            <w:r>
              <w:rPr>
                <w:rFonts w:hint="eastAsia" w:ascii="宋体" w:hAnsi="宋体" w:cs="宋体"/>
                <w:color w:val="000000"/>
                <w:szCs w:val="21"/>
              </w:rPr>
              <w:t>5</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01824817">
            <w:pPr>
              <w:widowControl/>
              <w:jc w:val="center"/>
              <w:textAlignment w:val="center"/>
              <w:rPr>
                <w:rFonts w:hint="eastAsia" w:ascii="宋体" w:hAnsi="宋体" w:cs="宋体"/>
                <w:color w:val="000000"/>
                <w:szCs w:val="21"/>
              </w:rPr>
            </w:pPr>
            <w:r>
              <w:rPr>
                <w:rFonts w:hint="eastAsia" w:ascii="宋体" w:hAnsi="宋体" w:cs="宋体"/>
                <w:color w:val="000000"/>
                <w:szCs w:val="21"/>
              </w:rPr>
              <w:t>开关、插座</w:t>
            </w:r>
          </w:p>
        </w:tc>
        <w:tc>
          <w:tcPr>
            <w:tcW w:w="5090" w:type="dxa"/>
            <w:tcBorders>
              <w:top w:val="single" w:color="auto" w:sz="4" w:space="0"/>
              <w:left w:val="single" w:color="auto" w:sz="4" w:space="0"/>
              <w:bottom w:val="single" w:color="auto" w:sz="4" w:space="0"/>
              <w:right w:val="single" w:color="auto" w:sz="4" w:space="0"/>
            </w:tcBorders>
            <w:vAlign w:val="center"/>
          </w:tcPr>
          <w:p w14:paraId="7E144D87">
            <w:pPr>
              <w:widowControl/>
              <w:jc w:val="center"/>
              <w:textAlignment w:val="center"/>
              <w:rPr>
                <w:rFonts w:hint="eastAsia" w:ascii="宋体" w:hAnsi="宋体" w:cs="宋体"/>
                <w:color w:val="000000"/>
                <w:szCs w:val="21"/>
              </w:rPr>
            </w:pPr>
            <w:r>
              <w:rPr>
                <w:rFonts w:hint="eastAsia" w:ascii="宋体" w:hAnsi="宋体" w:cs="宋体"/>
                <w:color w:val="000000"/>
                <w:szCs w:val="21"/>
              </w:rPr>
              <w:t>正泰、西蒙、公牛、欧普</w:t>
            </w:r>
          </w:p>
        </w:tc>
      </w:tr>
      <w:tr w14:paraId="43AC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530D4E16">
            <w:pPr>
              <w:widowControl/>
              <w:jc w:val="center"/>
              <w:textAlignment w:val="center"/>
              <w:rPr>
                <w:rFonts w:hint="eastAsia" w:ascii="宋体" w:hAnsi="宋体" w:cs="宋体"/>
                <w:color w:val="000000"/>
                <w:szCs w:val="21"/>
              </w:rPr>
            </w:pPr>
            <w:r>
              <w:rPr>
                <w:rFonts w:hint="eastAsia" w:ascii="宋体" w:hAnsi="宋体" w:cs="宋体"/>
                <w:color w:val="000000"/>
                <w:szCs w:val="21"/>
              </w:rPr>
              <w:t>6</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4079941C">
            <w:pPr>
              <w:widowControl/>
              <w:jc w:val="center"/>
              <w:textAlignment w:val="center"/>
              <w:rPr>
                <w:rFonts w:hint="eastAsia" w:ascii="宋体" w:hAnsi="宋体" w:cs="宋体"/>
                <w:color w:val="000000"/>
                <w:szCs w:val="21"/>
              </w:rPr>
            </w:pPr>
            <w:r>
              <w:rPr>
                <w:rFonts w:hint="eastAsia" w:ascii="宋体" w:hAnsi="宋体" w:cs="宋体"/>
                <w:color w:val="000000"/>
                <w:szCs w:val="21"/>
              </w:rPr>
              <w:t>镀锌钢板</w:t>
            </w:r>
          </w:p>
        </w:tc>
        <w:tc>
          <w:tcPr>
            <w:tcW w:w="5090" w:type="dxa"/>
            <w:tcBorders>
              <w:top w:val="single" w:color="auto" w:sz="4" w:space="0"/>
              <w:left w:val="single" w:color="auto" w:sz="4" w:space="0"/>
              <w:bottom w:val="single" w:color="auto" w:sz="4" w:space="0"/>
              <w:right w:val="single" w:color="auto" w:sz="4" w:space="0"/>
            </w:tcBorders>
            <w:vAlign w:val="center"/>
          </w:tcPr>
          <w:p w14:paraId="1333C227">
            <w:pPr>
              <w:widowControl/>
              <w:jc w:val="center"/>
              <w:textAlignment w:val="center"/>
              <w:rPr>
                <w:rFonts w:hint="eastAsia" w:ascii="宋体" w:hAnsi="宋体" w:cs="宋体"/>
                <w:color w:val="000000"/>
                <w:szCs w:val="21"/>
              </w:rPr>
            </w:pPr>
            <w:r>
              <w:rPr>
                <w:rFonts w:hint="eastAsia" w:ascii="宋体" w:hAnsi="宋体" w:cs="宋体"/>
                <w:color w:val="000000"/>
                <w:szCs w:val="21"/>
              </w:rPr>
              <w:t>宝钢、南钢、马钢</w:t>
            </w:r>
          </w:p>
        </w:tc>
      </w:tr>
      <w:tr w14:paraId="0439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3A6F9075">
            <w:pPr>
              <w:widowControl/>
              <w:jc w:val="center"/>
              <w:textAlignment w:val="center"/>
              <w:rPr>
                <w:rFonts w:hint="eastAsia" w:ascii="宋体" w:hAnsi="宋体" w:cs="宋体"/>
                <w:color w:val="000000"/>
                <w:szCs w:val="21"/>
              </w:rPr>
            </w:pPr>
            <w:r>
              <w:rPr>
                <w:rFonts w:hint="eastAsia" w:ascii="宋体" w:hAnsi="宋体" w:cs="宋体"/>
                <w:color w:val="000000"/>
                <w:szCs w:val="21"/>
              </w:rPr>
              <w:t>7</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6505AE25">
            <w:pPr>
              <w:widowControl/>
              <w:jc w:val="center"/>
              <w:textAlignment w:val="center"/>
              <w:rPr>
                <w:rFonts w:hint="eastAsia" w:ascii="宋体" w:hAnsi="宋体" w:cs="宋体"/>
                <w:color w:val="000000"/>
                <w:szCs w:val="21"/>
              </w:rPr>
            </w:pPr>
            <w:r>
              <w:rPr>
                <w:rFonts w:hint="eastAsia" w:ascii="宋体" w:hAnsi="宋体" w:cs="宋体"/>
                <w:color w:val="000000"/>
                <w:szCs w:val="21"/>
              </w:rPr>
              <w:t>PVC水、电管</w:t>
            </w:r>
          </w:p>
        </w:tc>
        <w:tc>
          <w:tcPr>
            <w:tcW w:w="5090" w:type="dxa"/>
            <w:tcBorders>
              <w:top w:val="single" w:color="auto" w:sz="4" w:space="0"/>
              <w:left w:val="single" w:color="auto" w:sz="4" w:space="0"/>
              <w:bottom w:val="single" w:color="auto" w:sz="4" w:space="0"/>
              <w:right w:val="single" w:color="auto" w:sz="4" w:space="0"/>
            </w:tcBorders>
            <w:vAlign w:val="center"/>
          </w:tcPr>
          <w:p w14:paraId="25F6B2E2">
            <w:pPr>
              <w:widowControl/>
              <w:jc w:val="center"/>
              <w:textAlignment w:val="center"/>
              <w:rPr>
                <w:rFonts w:hint="eastAsia" w:ascii="宋体" w:hAnsi="宋体" w:cs="宋体"/>
                <w:color w:val="000000"/>
                <w:szCs w:val="21"/>
              </w:rPr>
            </w:pPr>
            <w:r>
              <w:rPr>
                <w:rFonts w:hint="eastAsia" w:ascii="宋体" w:hAnsi="宋体" w:cs="宋体"/>
                <w:color w:val="000000"/>
                <w:szCs w:val="21"/>
              </w:rPr>
              <w:t>中财、联塑、公元、日丰</w:t>
            </w:r>
          </w:p>
        </w:tc>
      </w:tr>
      <w:tr w14:paraId="0576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15" w:type="dxa"/>
            <w:gridSpan w:val="2"/>
            <w:tcBorders>
              <w:top w:val="single" w:color="auto" w:sz="4" w:space="0"/>
              <w:left w:val="single" w:color="auto" w:sz="4" w:space="0"/>
              <w:bottom w:val="single" w:color="auto" w:sz="4" w:space="0"/>
              <w:right w:val="single" w:color="auto" w:sz="4" w:space="0"/>
            </w:tcBorders>
            <w:vAlign w:val="center"/>
          </w:tcPr>
          <w:p w14:paraId="2874EBF7">
            <w:pPr>
              <w:widowControl/>
              <w:jc w:val="center"/>
              <w:textAlignment w:val="center"/>
              <w:rPr>
                <w:rFonts w:hint="eastAsia" w:ascii="宋体" w:hAnsi="宋体" w:cs="宋体"/>
                <w:color w:val="000000"/>
                <w:szCs w:val="21"/>
              </w:rPr>
            </w:pPr>
            <w:r>
              <w:rPr>
                <w:rFonts w:hint="eastAsia" w:ascii="宋体" w:hAnsi="宋体" w:cs="宋体"/>
                <w:color w:val="000000"/>
                <w:szCs w:val="21"/>
              </w:rPr>
              <w:t>8</w:t>
            </w:r>
          </w:p>
        </w:tc>
        <w:tc>
          <w:tcPr>
            <w:tcW w:w="3060" w:type="dxa"/>
            <w:gridSpan w:val="2"/>
            <w:tcBorders>
              <w:top w:val="single" w:color="auto" w:sz="4" w:space="0"/>
              <w:left w:val="single" w:color="auto" w:sz="4" w:space="0"/>
              <w:bottom w:val="single" w:color="auto" w:sz="4" w:space="0"/>
              <w:right w:val="single" w:color="auto" w:sz="4" w:space="0"/>
            </w:tcBorders>
            <w:vAlign w:val="center"/>
          </w:tcPr>
          <w:p w14:paraId="288D33E1">
            <w:pPr>
              <w:widowControl/>
              <w:jc w:val="center"/>
              <w:textAlignment w:val="center"/>
              <w:rPr>
                <w:rFonts w:hint="eastAsia" w:ascii="宋体" w:hAnsi="宋体" w:cs="宋体"/>
                <w:color w:val="000000"/>
                <w:szCs w:val="21"/>
              </w:rPr>
            </w:pPr>
            <w:r>
              <w:rPr>
                <w:rFonts w:hint="eastAsia" w:ascii="宋体" w:hAnsi="宋体" w:cs="宋体"/>
                <w:color w:val="000000"/>
                <w:szCs w:val="21"/>
              </w:rPr>
              <w:t>阀门</w:t>
            </w:r>
          </w:p>
        </w:tc>
        <w:tc>
          <w:tcPr>
            <w:tcW w:w="5090" w:type="dxa"/>
            <w:tcBorders>
              <w:top w:val="single" w:color="auto" w:sz="4" w:space="0"/>
              <w:left w:val="single" w:color="auto" w:sz="4" w:space="0"/>
              <w:bottom w:val="single" w:color="auto" w:sz="4" w:space="0"/>
              <w:right w:val="single" w:color="auto" w:sz="4" w:space="0"/>
            </w:tcBorders>
            <w:vAlign w:val="center"/>
          </w:tcPr>
          <w:p w14:paraId="4C0C0DB6">
            <w:pPr>
              <w:widowControl/>
              <w:jc w:val="center"/>
              <w:textAlignment w:val="center"/>
              <w:rPr>
                <w:rFonts w:hint="eastAsia" w:ascii="宋体" w:hAnsi="宋体" w:cs="宋体"/>
                <w:color w:val="000000"/>
                <w:szCs w:val="21"/>
              </w:rPr>
            </w:pPr>
            <w:r>
              <w:rPr>
                <w:rFonts w:hint="eastAsia" w:ascii="宋体" w:hAnsi="宋体" w:cs="宋体"/>
                <w:color w:val="000000"/>
                <w:szCs w:val="21"/>
              </w:rPr>
              <w:t>沪工、埃美柯、标一</w:t>
            </w:r>
          </w:p>
        </w:tc>
      </w:tr>
    </w:tbl>
    <w:p w14:paraId="3E0322EE">
      <w:pPr>
        <w:tabs>
          <w:tab w:val="left" w:pos="1127"/>
        </w:tabs>
        <w:spacing w:line="400" w:lineRule="exact"/>
        <w:ind w:firstLine="420" w:firstLineChars="200"/>
        <w:rPr>
          <w:rFonts w:hint="eastAsia" w:ascii="宋体" w:hAnsi="宋体" w:cs="金山简魏碑"/>
          <w:color w:val="000000"/>
          <w:szCs w:val="21"/>
        </w:rPr>
      </w:pPr>
      <w:r>
        <w:rPr>
          <w:rFonts w:hint="eastAsia" w:ascii="宋体" w:hAnsi="宋体"/>
          <w:color w:val="000000"/>
          <w:szCs w:val="21"/>
        </w:rPr>
        <w:t>注明：</w:t>
      </w:r>
      <w:r>
        <w:rPr>
          <w:rFonts w:hint="eastAsia" w:ascii="宋体" w:hAnsi="宋体" w:cs="金山简魏碑"/>
          <w:color w:val="000000"/>
          <w:szCs w:val="21"/>
        </w:rPr>
        <w:t>1、投标人应选用招标人推荐的品牌之一或其他优于招标文件中所推荐的品牌，否则发包人有权在所列品牌范围内任选一个品牌进行施工；材料进场前需监理、建设单位、设计及施工单位三方共同确认所进场的材料符合或优于招标文件中所推荐的品牌，否则造成的工期延误、窝工以及材料的浪费等一切损失均由施工方负责。2、所有乙供材料品牌进场前需经建设单位进行确认，价格不作调整。</w:t>
      </w:r>
    </w:p>
    <w:p w14:paraId="195FE918">
      <w:pPr>
        <w:spacing w:line="400" w:lineRule="exact"/>
        <w:ind w:firstLine="521" w:firstLineChars="247"/>
        <w:rPr>
          <w:rFonts w:hint="eastAsia" w:ascii="宋体" w:hAnsi="宋体"/>
          <w:b/>
          <w:color w:val="000000"/>
          <w:szCs w:val="21"/>
        </w:rPr>
      </w:pPr>
      <w:r>
        <w:rPr>
          <w:rFonts w:hint="eastAsia" w:ascii="宋体" w:hAnsi="宋体"/>
          <w:b/>
          <w:color w:val="000000"/>
          <w:szCs w:val="21"/>
        </w:rPr>
        <w:t>六、其他需说明的问题：</w:t>
      </w:r>
    </w:p>
    <w:p w14:paraId="0F7DEF06">
      <w:pPr>
        <w:numPr>
          <w:ilvl w:val="1"/>
          <w:numId w:val="9"/>
        </w:numPr>
        <w:spacing w:line="400" w:lineRule="exact"/>
        <w:ind w:left="0" w:firstLine="459"/>
        <w:rPr>
          <w:rFonts w:hint="eastAsia" w:ascii="宋体" w:hAnsi="宋体" w:cs="金山简魏碑"/>
          <w:color w:val="000000"/>
          <w:szCs w:val="21"/>
        </w:rPr>
      </w:pPr>
      <w:r>
        <w:rPr>
          <w:rFonts w:hint="eastAsia"/>
        </w:rPr>
        <w:t>工程量清单应与招标文件、招标项目图纸等文件结合起来查阅与理解，工程量清单中所描述的项目特征仅为招标人对该分部分项工程特征的概述，而非是工程特征的全面描述，</w:t>
      </w:r>
      <w:r>
        <w:rPr>
          <w:rFonts w:hint="eastAsia" w:ascii="宋体" w:hAnsi="宋体"/>
          <w:color w:val="000000"/>
          <w:szCs w:val="21"/>
        </w:rPr>
        <w:t>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14:paraId="6D478095">
      <w:pPr>
        <w:numPr>
          <w:ilvl w:val="1"/>
          <w:numId w:val="9"/>
        </w:numPr>
        <w:spacing w:line="400" w:lineRule="exact"/>
        <w:ind w:left="0" w:firstLine="459"/>
        <w:rPr>
          <w:rFonts w:hint="eastAsia" w:ascii="宋体" w:hAnsi="宋体" w:cs="金山简魏碑"/>
          <w:color w:val="000000"/>
          <w:szCs w:val="21"/>
        </w:rPr>
      </w:pPr>
      <w:r>
        <w:rPr>
          <w:rFonts w:ascii="宋体" w:hAnsi="宋体" w:cs="宋体"/>
          <w:color w:val="000000"/>
          <w:szCs w:val="21"/>
        </w:rPr>
        <w:t>对招标人所列的措施项目，投标人可根据工程实际与施工组织设计进行增补，但不应更改招标人已列措施项目。结算时，除工程变更引起施工方案改变外，承包人不得以招标工程措施项目清单缺项为由要求新增措施项目</w:t>
      </w:r>
      <w:r>
        <w:rPr>
          <w:rFonts w:hint="eastAsia" w:ascii="宋体" w:hAnsi="宋体" w:cs="宋体"/>
          <w:color w:val="000000"/>
          <w:szCs w:val="21"/>
        </w:rPr>
        <w:t>。</w:t>
      </w:r>
      <w:r>
        <w:rPr>
          <w:rFonts w:hint="eastAsia" w:cs="宋体"/>
        </w:rPr>
        <w:t>措施费投标人须全面考虑，除招标文件中另有规定外，如有漏项，按投标人让利考虑。措施费未实施的，结算时予以扣除。</w:t>
      </w:r>
    </w:p>
    <w:p w14:paraId="6B1CD84D">
      <w:pPr>
        <w:numPr>
          <w:ilvl w:val="1"/>
          <w:numId w:val="9"/>
        </w:numPr>
        <w:spacing w:line="400" w:lineRule="exact"/>
        <w:ind w:left="0" w:firstLine="459"/>
        <w:rPr>
          <w:rFonts w:hint="eastAsia" w:ascii="宋体" w:hAnsi="宋体" w:cs="金山简魏碑"/>
          <w:color w:val="000000"/>
          <w:szCs w:val="21"/>
        </w:rPr>
      </w:pPr>
      <w:r>
        <w:rPr>
          <w:rFonts w:hint="eastAsia" w:ascii="宋体" w:hAnsi="宋体"/>
          <w:color w:val="000000"/>
          <w:szCs w:val="21"/>
        </w:rPr>
        <w:t>对于总价措施项目除安全文明施工费按规定的费率调整外，其余总价措施项目请投标人在报价中充分考虑，结算时不得调整。</w:t>
      </w:r>
    </w:p>
    <w:p w14:paraId="4CA2EBB2">
      <w:pPr>
        <w:numPr>
          <w:ilvl w:val="1"/>
          <w:numId w:val="9"/>
        </w:numPr>
        <w:spacing w:line="400" w:lineRule="exact"/>
        <w:ind w:left="0" w:firstLine="459"/>
        <w:rPr>
          <w:rFonts w:hint="eastAsia" w:ascii="宋体" w:hAnsi="宋体" w:cs="金山简魏碑"/>
          <w:color w:val="000000"/>
          <w:szCs w:val="21"/>
        </w:rPr>
      </w:pPr>
      <w:r>
        <w:rPr>
          <w:rFonts w:hint="eastAsia" w:ascii="宋体" w:hAnsi="宋体"/>
          <w:color w:val="000000"/>
          <w:szCs w:val="21"/>
        </w:rPr>
        <w:t>单价措施项目工程量为1的项目，请投标人在报价中充分考虑，结算时不得另行增加其它费用；</w:t>
      </w:r>
      <w:r>
        <w:rPr>
          <w:rFonts w:hint="eastAsia" w:ascii="宋体" w:hAnsi="宋体" w:cs="宋体"/>
          <w:color w:val="000000"/>
          <w:szCs w:val="21"/>
        </w:rPr>
        <w:t>对于本项目的脚手架、垂直运输等，请投标人在报价中充分考虑，结算时不得因投标人未充分考虑到的风险而调整单价</w:t>
      </w:r>
      <w:r>
        <w:rPr>
          <w:rFonts w:hint="eastAsia" w:ascii="宋体" w:hAnsi="宋体" w:cs="金山简魏碑"/>
          <w:color w:val="000000"/>
          <w:szCs w:val="21"/>
        </w:rPr>
        <w:t>。加固单位工程中</w:t>
      </w:r>
      <w:r>
        <w:rPr>
          <w:rFonts w:hint="eastAsia" w:ascii="宋体" w:hAnsi="宋体" w:cs="宋体"/>
          <w:color w:val="000000"/>
          <w:szCs w:val="21"/>
        </w:rPr>
        <w:t>混凝构件均为含模板、支架措施费报价，请投标人充分考虑。</w:t>
      </w:r>
    </w:p>
    <w:p w14:paraId="2138F0E5">
      <w:pPr>
        <w:numPr>
          <w:ilvl w:val="1"/>
          <w:numId w:val="9"/>
        </w:numPr>
        <w:spacing w:line="360" w:lineRule="auto"/>
        <w:ind w:left="0" w:firstLine="459"/>
        <w:rPr>
          <w:rFonts w:hint="eastAsia" w:ascii="宋体" w:hAnsi="宋体"/>
          <w:color w:val="000000"/>
          <w:szCs w:val="21"/>
        </w:rPr>
      </w:pPr>
      <w:r>
        <w:rPr>
          <w:rFonts w:hint="eastAsia" w:ascii="宋体" w:hAnsi="宋体"/>
          <w:color w:val="000000"/>
          <w:szCs w:val="21"/>
        </w:rPr>
        <w:t>本工程暂列金额详见工程量清单。暂列金额为招标人费用，投标人在报价中不得让利。否则结算时按招标人给定的费用扣除。</w:t>
      </w:r>
    </w:p>
    <w:p w14:paraId="207E43E1">
      <w:pPr>
        <w:numPr>
          <w:ilvl w:val="1"/>
          <w:numId w:val="9"/>
        </w:numPr>
        <w:spacing w:line="360" w:lineRule="auto"/>
        <w:ind w:left="0" w:firstLine="459"/>
        <w:rPr>
          <w:rFonts w:hint="eastAsia" w:ascii="宋体" w:hAnsi="宋体"/>
          <w:color w:val="000000"/>
          <w:szCs w:val="21"/>
        </w:rPr>
      </w:pPr>
      <w:r>
        <w:rPr>
          <w:rFonts w:hint="eastAsia" w:ascii="宋体" w:hAnsi="宋体"/>
          <w:color w:val="000000"/>
          <w:szCs w:val="21"/>
        </w:rPr>
        <w:t>材料（工程设备）暂估价详见工程量清单。投标人在报价中不得让利。否则结算时按招标人给定的费用扣除。</w:t>
      </w:r>
    </w:p>
    <w:p w14:paraId="26FEDB8B">
      <w:pPr>
        <w:spacing w:line="360" w:lineRule="auto"/>
        <w:ind w:firstLine="420" w:firstLineChars="200"/>
        <w:rPr>
          <w:rFonts w:hint="eastAsia" w:ascii="宋体" w:hAnsi="宋体"/>
          <w:color w:val="000000"/>
          <w:szCs w:val="21"/>
        </w:rPr>
      </w:pPr>
      <w:r>
        <w:rPr>
          <w:rFonts w:hint="eastAsia" w:ascii="宋体" w:hAnsi="宋体" w:cs="金山简魏碑"/>
          <w:color w:val="000000"/>
          <w:szCs w:val="21"/>
        </w:rPr>
        <w:t>7、</w:t>
      </w:r>
      <w:r>
        <w:rPr>
          <w:rFonts w:hint="eastAsia" w:ascii="宋体" w:hAnsi="宋体"/>
          <w:color w:val="000000"/>
          <w:szCs w:val="21"/>
        </w:rPr>
        <w:t>本项目的赶工措施费由投标单位自行考虑到报价中。</w:t>
      </w:r>
    </w:p>
    <w:p w14:paraId="1A391DF1">
      <w:pPr>
        <w:spacing w:line="360" w:lineRule="auto"/>
        <w:ind w:firstLine="420" w:firstLineChars="200"/>
        <w:rPr>
          <w:rFonts w:hint="eastAsia" w:ascii="宋体" w:hAnsi="宋体" w:cs="金山简魏碑"/>
          <w:color w:val="000000"/>
          <w:szCs w:val="21"/>
        </w:rPr>
      </w:pPr>
      <w:r>
        <w:rPr>
          <w:rFonts w:hint="eastAsia" w:ascii="宋体" w:hAnsi="宋体" w:cs="金山简魏碑"/>
          <w:color w:val="000000"/>
          <w:szCs w:val="21"/>
        </w:rPr>
        <w:t>8、发包人供应的材料（甲供材）和工程设备，承包人清点后由承包人妥善保管，保管费用由发包人承担，其费用或费率由投标人自行考虑报价。</w:t>
      </w:r>
    </w:p>
    <w:p w14:paraId="1C3E741B">
      <w:pPr>
        <w:spacing w:line="360" w:lineRule="auto"/>
        <w:ind w:firstLine="420" w:firstLineChars="200"/>
        <w:rPr>
          <w:color w:val="000000"/>
        </w:rPr>
      </w:pPr>
      <w:r>
        <w:rPr>
          <w:rFonts w:hint="eastAsia" w:ascii="宋体" w:hAnsi="宋体" w:cs="金山简魏碑"/>
          <w:color w:val="000000"/>
          <w:szCs w:val="21"/>
        </w:rPr>
        <w:t>9、本工程不要求创市级及省级</w:t>
      </w:r>
      <w:r>
        <w:rPr>
          <w:color w:val="000000"/>
        </w:rPr>
        <w:t>标化安全文明施工</w:t>
      </w:r>
      <w:r>
        <w:rPr>
          <w:rFonts w:hint="eastAsia"/>
          <w:color w:val="000000"/>
        </w:rPr>
        <w:t>要求，如中标人自行申请并获得市级或省级文明标化工地，安全文明施工增加费结算时不计取。</w:t>
      </w:r>
    </w:p>
    <w:p w14:paraId="22F8E336">
      <w:pPr>
        <w:spacing w:line="360" w:lineRule="auto"/>
        <w:ind w:firstLine="420" w:firstLineChars="200"/>
        <w:rPr>
          <w:rFonts w:hint="eastAsia" w:ascii="宋体" w:hAnsi="宋体" w:cs="金山简魏碑"/>
          <w:color w:val="000000"/>
          <w:szCs w:val="21"/>
        </w:rPr>
      </w:pPr>
      <w:r>
        <w:rPr>
          <w:rFonts w:hint="eastAsia" w:ascii="宋体" w:hAnsi="宋体"/>
          <w:bCs/>
          <w:color w:val="000000"/>
          <w:szCs w:val="21"/>
        </w:rPr>
        <w:t>10、投标人在填写工程量清单的每一项综合单价和合价时均应结合招标文件、技术规范、设计施工图纸和现场勘察情况，谨慎仔细地进行报价。清单特征中未描述的，但计价规范中注明的工程内容，承包人在报价时应充分考虑“工程内容”而产生的费用，列入相应投标报价中，实施工过程中费用不调整。</w:t>
      </w:r>
    </w:p>
    <w:p w14:paraId="41315952">
      <w:pPr>
        <w:spacing w:line="360" w:lineRule="auto"/>
        <w:ind w:right="356" w:firstLine="315"/>
        <w:rPr>
          <w:rFonts w:hint="eastAsia" w:asciiTheme="minorEastAsia" w:hAnsiTheme="minorEastAsia" w:eastAsiaTheme="minorEastAsia" w:cstheme="minorEastAsia"/>
          <w:szCs w:val="21"/>
        </w:rPr>
      </w:pPr>
      <w:r>
        <w:rPr>
          <w:rFonts w:hint="eastAsia" w:ascii="宋体" w:hAnsi="宋体" w:cs="金山简魏碑"/>
          <w:color w:val="000000"/>
          <w:szCs w:val="21"/>
        </w:rPr>
        <w:t>11、它要求详见招标文件。</w:t>
      </w:r>
    </w:p>
    <w:p w14:paraId="1D3C7C4D">
      <w:pPr>
        <w:spacing w:line="360" w:lineRule="auto"/>
        <w:ind w:firstLine="482"/>
        <w:outlineLvl w:val="1"/>
        <w:rPr>
          <w:rFonts w:hint="eastAsia" w:ascii="宋体" w:hAnsi="宋体" w:cs="宋体"/>
          <w:b/>
          <w:bCs/>
          <w:sz w:val="24"/>
          <w:lang w:bidi="ar"/>
        </w:rPr>
      </w:pPr>
      <w:r>
        <w:rPr>
          <w:rFonts w:hint="eastAsia" w:ascii="宋体" w:hAnsi="宋体" w:cs="宋体"/>
          <w:b/>
          <w:bCs/>
          <w:sz w:val="24"/>
          <w:lang w:bidi="ar"/>
        </w:rPr>
        <w:t>七、项目工期：30日历天</w:t>
      </w:r>
    </w:p>
    <w:p w14:paraId="347963D3">
      <w:pPr>
        <w:spacing w:line="360" w:lineRule="auto"/>
        <w:ind w:firstLine="482"/>
        <w:outlineLvl w:val="1"/>
        <w:rPr>
          <w:rFonts w:hint="eastAsia" w:ascii="宋体" w:hAnsi="宋体" w:cs="宋体"/>
          <w:sz w:val="24"/>
          <w:lang w:bidi="ar"/>
        </w:rPr>
      </w:pPr>
      <w:bookmarkStart w:id="741" w:name="OLE_LINK2"/>
      <w:r>
        <w:rPr>
          <w:rFonts w:hint="eastAsia" w:ascii="宋体" w:hAnsi="宋体" w:cs="宋体"/>
          <w:sz w:val="24"/>
          <w:lang w:bidi="ar"/>
        </w:rPr>
        <w:t>（备注：因该项目招标人须尽早使用，请各投标人根据项目实际状况，并考虑本单位的自身实力（人员、资源等）进行最优最短的施工工期承诺。）</w:t>
      </w:r>
    </w:p>
    <w:bookmarkEnd w:id="741"/>
    <w:p w14:paraId="2FF764EE">
      <w:pPr>
        <w:spacing w:line="360" w:lineRule="auto"/>
        <w:ind w:firstLine="482"/>
        <w:outlineLvl w:val="1"/>
        <w:rPr>
          <w:rFonts w:hint="eastAsia" w:ascii="宋体" w:hAnsi="宋体" w:cs="宋体"/>
          <w:b/>
          <w:bCs/>
          <w:sz w:val="24"/>
          <w:lang w:bidi="ar"/>
        </w:rPr>
      </w:pPr>
      <w:r>
        <w:rPr>
          <w:rFonts w:hint="eastAsia" w:ascii="宋体" w:hAnsi="宋体" w:cs="宋体"/>
          <w:b/>
          <w:bCs/>
          <w:sz w:val="24"/>
          <w:lang w:bidi="ar"/>
        </w:rPr>
        <w:t>五、质量要求：合格</w:t>
      </w:r>
    </w:p>
    <w:p w14:paraId="40E7B8AE">
      <w:pPr>
        <w:spacing w:line="360" w:lineRule="auto"/>
        <w:ind w:firstLine="482"/>
        <w:outlineLvl w:val="1"/>
        <w:rPr>
          <w:rFonts w:hint="eastAsia" w:ascii="宋体" w:hAnsi="宋体" w:cs="宋体"/>
          <w:b/>
          <w:bCs/>
          <w:sz w:val="24"/>
          <w:lang w:bidi="ar"/>
        </w:rPr>
      </w:pPr>
      <w:r>
        <w:rPr>
          <w:rFonts w:hint="eastAsia" w:ascii="宋体" w:hAnsi="宋体" w:cs="宋体"/>
          <w:b/>
          <w:bCs/>
          <w:sz w:val="24"/>
          <w:lang w:bidi="ar"/>
        </w:rPr>
        <w:t>六、付款方式：</w:t>
      </w:r>
    </w:p>
    <w:p w14:paraId="37B05C73">
      <w:pPr>
        <w:tabs>
          <w:tab w:val="left" w:pos="958"/>
        </w:tabs>
        <w:spacing w:line="360" w:lineRule="auto"/>
        <w:ind w:right="-29" w:firstLine="315"/>
        <w:jc w:val="left"/>
        <w:rPr>
          <w:rFonts w:hint="eastAsia" w:ascii="宋体" w:hAnsi="宋体" w:cs="宋体"/>
          <w:szCs w:val="21"/>
        </w:rPr>
      </w:pPr>
      <w:r>
        <w:rPr>
          <w:rFonts w:hint="eastAsia" w:ascii="宋体" w:hAnsi="宋体" w:cs="宋体"/>
          <w:szCs w:val="21"/>
        </w:rPr>
        <w:t xml:space="preserve">1、合同签订并且主要机械、人员进场且具备施工条件10天内，预付合同价款的30%（不包括暂列金额）。 </w:t>
      </w:r>
    </w:p>
    <w:p w14:paraId="03D77003">
      <w:pPr>
        <w:tabs>
          <w:tab w:val="left" w:pos="958"/>
        </w:tabs>
        <w:spacing w:line="360" w:lineRule="auto"/>
        <w:ind w:right="-29" w:firstLine="315"/>
        <w:jc w:val="left"/>
        <w:rPr>
          <w:rFonts w:hint="eastAsia" w:ascii="宋体" w:hAnsi="宋体" w:cs="宋体"/>
          <w:szCs w:val="21"/>
        </w:rPr>
      </w:pPr>
      <w:r>
        <w:rPr>
          <w:rFonts w:hint="eastAsia" w:ascii="宋体" w:hAnsi="宋体" w:cs="宋体"/>
          <w:szCs w:val="21"/>
        </w:rPr>
        <w:t>2、工程量完成50%且主要装修材料已运抵施工现场，由承包人提出申请并按要求办理相关手续（经监理、发包人审核确认）后，发包人支付至合同价款（扣除暂列金含税、材料暂估价含税）的60%；</w:t>
      </w:r>
    </w:p>
    <w:p w14:paraId="7AF0DA75">
      <w:pPr>
        <w:tabs>
          <w:tab w:val="left" w:pos="958"/>
        </w:tabs>
        <w:spacing w:line="360" w:lineRule="auto"/>
        <w:ind w:right="-29" w:firstLine="315"/>
        <w:jc w:val="left"/>
        <w:rPr>
          <w:rFonts w:hint="eastAsia" w:ascii="宋体" w:hAnsi="宋体" w:cs="宋体"/>
          <w:szCs w:val="21"/>
        </w:rPr>
      </w:pPr>
      <w:r>
        <w:rPr>
          <w:rFonts w:hint="eastAsia" w:ascii="宋体" w:hAnsi="宋体" w:cs="宋体"/>
          <w:szCs w:val="21"/>
        </w:rPr>
        <w:t>3、工程竣工验收合格后付至合同价款的90%（承包人必须提供完整的工程竣工结算资料原件，并扣除相应的违约金、暂列金额等应扣款）。</w:t>
      </w:r>
    </w:p>
    <w:p w14:paraId="358BBEB8">
      <w:pPr>
        <w:tabs>
          <w:tab w:val="left" w:pos="958"/>
        </w:tabs>
        <w:spacing w:line="360" w:lineRule="auto"/>
        <w:ind w:right="-29" w:firstLine="315"/>
        <w:jc w:val="left"/>
        <w:rPr>
          <w:rFonts w:hint="eastAsia" w:ascii="宋体" w:hAnsi="宋体" w:cs="宋体"/>
          <w:szCs w:val="21"/>
        </w:rPr>
      </w:pPr>
      <w:r>
        <w:rPr>
          <w:rFonts w:hint="eastAsia" w:ascii="宋体" w:hAnsi="宋体" w:cs="宋体"/>
          <w:szCs w:val="21"/>
        </w:rPr>
        <w:t>4、工程经最终结算审计结束、竣工资料检查合格移交发包人后付至结算审定价款的97%，3 % 为工程质量保修金，在质保期满后付清（无息）。</w:t>
      </w:r>
    </w:p>
    <w:p w14:paraId="10EEAC79">
      <w:pPr>
        <w:tabs>
          <w:tab w:val="left" w:pos="958"/>
        </w:tabs>
        <w:spacing w:line="360" w:lineRule="auto"/>
        <w:ind w:right="-29" w:firstLine="315"/>
        <w:jc w:val="left"/>
        <w:rPr>
          <w:rFonts w:hint="eastAsia" w:ascii="宋体" w:hAnsi="宋体" w:cs="宋体"/>
          <w:b/>
          <w:bCs/>
          <w:szCs w:val="21"/>
        </w:rPr>
      </w:pPr>
      <w:r>
        <w:rPr>
          <w:rFonts w:hint="eastAsia" w:ascii="宋体" w:hAnsi="宋体" w:cs="宋体"/>
          <w:b/>
          <w:bCs/>
          <w:szCs w:val="21"/>
        </w:rPr>
        <w:t>七、履约保证金</w:t>
      </w:r>
    </w:p>
    <w:p w14:paraId="609FDAD8">
      <w:pPr>
        <w:tabs>
          <w:tab w:val="left" w:pos="958"/>
        </w:tabs>
        <w:spacing w:line="360" w:lineRule="auto"/>
        <w:ind w:right="-29" w:firstLine="315"/>
        <w:jc w:val="left"/>
        <w:rPr>
          <w:rFonts w:hint="eastAsia" w:ascii="宋体" w:hAnsi="宋体" w:cs="宋体"/>
          <w:szCs w:val="21"/>
        </w:rPr>
      </w:pPr>
      <w:r>
        <w:rPr>
          <w:rFonts w:hint="eastAsia" w:ascii="宋体" w:hAnsi="宋体" w:cs="宋体"/>
          <w:szCs w:val="21"/>
        </w:rPr>
        <w:t>成交供应商应在《成交通知书》发出之日起10个工作日内向采购人提交履约保证金，保证金方式：电子转账。履约保证金的金额为成交金额的10%。履约保证金在竣工验收合格后，且成交供应商无违约行为并提供相关资料向采购人申请，采购人审核无误后无息退还。成交供应商如未在规定时限内完成履约保证金提交的，视为放弃成交资格。</w:t>
      </w:r>
    </w:p>
    <w:p w14:paraId="3A01F696">
      <w:pPr>
        <w:rPr>
          <w:rFonts w:hint="eastAsia" w:ascii="宋体" w:hAnsi="宋体" w:cs="宋体"/>
          <w:b/>
          <w:sz w:val="28"/>
          <w:szCs w:val="28"/>
        </w:rPr>
      </w:pPr>
      <w:bookmarkStart w:id="742" w:name="_Toc492555350"/>
    </w:p>
    <w:p w14:paraId="785DA13F">
      <w:pPr>
        <w:rPr>
          <w:rFonts w:hint="eastAsia" w:ascii="宋体" w:hAnsi="宋体" w:cs="宋体"/>
          <w:b/>
          <w:sz w:val="28"/>
          <w:szCs w:val="28"/>
        </w:rPr>
      </w:pPr>
    </w:p>
    <w:p w14:paraId="3AFFD60A">
      <w:pPr>
        <w:rPr>
          <w:rFonts w:hint="eastAsia" w:ascii="宋体" w:hAnsi="宋体" w:cs="宋体"/>
          <w:b/>
          <w:sz w:val="28"/>
          <w:szCs w:val="28"/>
        </w:rPr>
      </w:pPr>
    </w:p>
    <w:p w14:paraId="310EB614">
      <w:pPr>
        <w:rPr>
          <w:rFonts w:hint="eastAsia" w:ascii="宋体" w:hAnsi="宋体" w:cs="宋体"/>
          <w:b/>
          <w:sz w:val="28"/>
          <w:szCs w:val="28"/>
        </w:rPr>
      </w:pPr>
    </w:p>
    <w:p w14:paraId="1C6BFAB4">
      <w:pPr>
        <w:pStyle w:val="233"/>
        <w:rPr>
          <w:rFonts w:hint="eastAsia" w:ascii="宋体" w:hAnsi="宋体" w:eastAsia="宋体" w:cs="宋体"/>
          <w:b/>
          <w:bCs w:val="0"/>
          <w:sz w:val="28"/>
          <w:szCs w:val="28"/>
        </w:rPr>
      </w:pPr>
      <w:bookmarkStart w:id="743" w:name="_Toc13221"/>
      <w:r>
        <w:rPr>
          <w:rFonts w:hint="eastAsia" w:ascii="宋体" w:hAnsi="宋体" w:eastAsia="宋体" w:cs="宋体"/>
          <w:b/>
          <w:bCs w:val="0"/>
          <w:sz w:val="28"/>
          <w:szCs w:val="28"/>
        </w:rPr>
        <w:t>第六章  响应文件格式</w:t>
      </w:r>
      <w:bookmarkEnd w:id="181"/>
      <w:bookmarkEnd w:id="182"/>
      <w:bookmarkEnd w:id="183"/>
      <w:bookmarkEnd w:id="184"/>
      <w:bookmarkEnd w:id="185"/>
      <w:bookmarkEnd w:id="186"/>
      <w:bookmarkEnd w:id="742"/>
      <w:bookmarkEnd w:id="743"/>
    </w:p>
    <w:p w14:paraId="757D9245">
      <w:pPr>
        <w:ind w:left="1807" w:hanging="1807"/>
        <w:jc w:val="right"/>
        <w:rPr>
          <w:rFonts w:hint="eastAsia" w:ascii="宋体" w:hAnsi="宋体"/>
          <w:b/>
          <w:sz w:val="36"/>
        </w:rPr>
      </w:pPr>
      <w:bookmarkStart w:id="744" w:name="_Toc116114638"/>
      <w:bookmarkStart w:id="745" w:name="_Toc27370"/>
      <w:bookmarkStart w:id="746" w:name="_Toc447265603"/>
      <w:bookmarkStart w:id="747" w:name="_Toc447265317"/>
      <w:bookmarkStart w:id="748" w:name="_Toc438052118"/>
      <w:r>
        <w:rPr>
          <w:rFonts w:hint="eastAsia" w:ascii="宋体" w:hAnsi="宋体"/>
          <w:b/>
          <w:sz w:val="36"/>
        </w:rPr>
        <w:t>（正本/副本）</w:t>
      </w:r>
    </w:p>
    <w:p w14:paraId="6D615AD3">
      <w:pPr>
        <w:ind w:left="1807" w:hanging="1807"/>
        <w:rPr>
          <w:rFonts w:hint="eastAsia" w:ascii="宋体" w:hAnsi="宋体"/>
          <w:b/>
          <w:sz w:val="36"/>
        </w:rPr>
      </w:pPr>
    </w:p>
    <w:p w14:paraId="52628A0F">
      <w:pPr>
        <w:spacing w:line="480" w:lineRule="auto"/>
        <w:jc w:val="center"/>
        <w:outlineLvl w:val="1"/>
        <w:rPr>
          <w:rFonts w:hint="eastAsia" w:ascii="宋体" w:hAnsi="宋体"/>
          <w:b/>
          <w:sz w:val="44"/>
          <w:szCs w:val="44"/>
        </w:rPr>
      </w:pPr>
      <w:r>
        <w:rPr>
          <w:rFonts w:hint="eastAsia" w:ascii="宋体" w:hAnsi="宋体"/>
          <w:b/>
          <w:sz w:val="44"/>
          <w:szCs w:val="44"/>
        </w:rPr>
        <w:t>南京审计大学金审学院西门快递驿站工程</w:t>
      </w:r>
    </w:p>
    <w:p w14:paraId="5C894C87">
      <w:pPr>
        <w:spacing w:line="480" w:lineRule="auto"/>
        <w:jc w:val="center"/>
        <w:outlineLvl w:val="1"/>
        <w:rPr>
          <w:rFonts w:hint="eastAsia" w:ascii="宋体" w:hAnsi="宋体"/>
          <w:b/>
          <w:sz w:val="48"/>
          <w:szCs w:val="48"/>
        </w:rPr>
      </w:pPr>
    </w:p>
    <w:p w14:paraId="4AE630EF">
      <w:pPr>
        <w:spacing w:line="480" w:lineRule="auto"/>
        <w:jc w:val="center"/>
        <w:outlineLvl w:val="1"/>
        <w:rPr>
          <w:rFonts w:hint="eastAsia" w:ascii="宋体" w:hAnsi="宋体"/>
          <w:b/>
          <w:sz w:val="52"/>
          <w:szCs w:val="48"/>
        </w:rPr>
      </w:pPr>
      <w:r>
        <w:rPr>
          <w:rFonts w:hint="eastAsia" w:ascii="宋体" w:hAnsi="宋体"/>
          <w:b/>
          <w:sz w:val="48"/>
          <w:szCs w:val="48"/>
        </w:rPr>
        <w:t>竞争性谈判响应文件</w:t>
      </w:r>
    </w:p>
    <w:p w14:paraId="7BF02A65">
      <w:pPr>
        <w:spacing w:line="480" w:lineRule="auto"/>
        <w:jc w:val="center"/>
        <w:rPr>
          <w:rFonts w:hint="eastAsia" w:ascii="宋体" w:hAnsi="宋体"/>
          <w:b/>
          <w:szCs w:val="52"/>
        </w:rPr>
      </w:pPr>
    </w:p>
    <w:p w14:paraId="47976245">
      <w:pPr>
        <w:spacing w:line="480" w:lineRule="auto"/>
        <w:jc w:val="left"/>
        <w:rPr>
          <w:rFonts w:hint="eastAsia" w:ascii="宋体" w:hAnsi="宋体"/>
          <w:b/>
          <w:sz w:val="36"/>
          <w:szCs w:val="52"/>
        </w:rPr>
      </w:pPr>
    </w:p>
    <w:p w14:paraId="15A1DB64">
      <w:pPr>
        <w:spacing w:line="480" w:lineRule="auto"/>
        <w:jc w:val="left"/>
        <w:rPr>
          <w:rFonts w:hint="eastAsia" w:ascii="宋体" w:hAnsi="宋体"/>
          <w:b/>
          <w:sz w:val="36"/>
          <w:szCs w:val="52"/>
        </w:rPr>
      </w:pPr>
    </w:p>
    <w:p w14:paraId="7D6A5B7F">
      <w:pPr>
        <w:spacing w:line="480" w:lineRule="auto"/>
        <w:jc w:val="left"/>
        <w:rPr>
          <w:rFonts w:hint="eastAsia" w:ascii="宋体" w:hAnsi="宋体"/>
          <w:b/>
          <w:sz w:val="32"/>
          <w:szCs w:val="32"/>
        </w:rPr>
      </w:pPr>
      <w:r>
        <w:rPr>
          <w:rFonts w:hint="eastAsia" w:ascii="宋体" w:hAnsi="宋体"/>
          <w:b/>
          <w:sz w:val="32"/>
          <w:szCs w:val="32"/>
        </w:rPr>
        <w:t>竞争性谈判申请人：</w:t>
      </w:r>
      <w:r>
        <w:rPr>
          <w:rFonts w:hint="eastAsia" w:ascii="宋体" w:hAnsi="宋体"/>
          <w:b/>
          <w:sz w:val="32"/>
          <w:szCs w:val="32"/>
          <w:u w:val="single"/>
        </w:rPr>
        <w:t xml:space="preserve">                       </w:t>
      </w:r>
      <w:r>
        <w:rPr>
          <w:rFonts w:hint="eastAsia" w:ascii="宋体" w:hAnsi="宋体"/>
          <w:b/>
          <w:sz w:val="32"/>
          <w:szCs w:val="32"/>
        </w:rPr>
        <w:t>（公章）</w:t>
      </w:r>
    </w:p>
    <w:p w14:paraId="744524F9">
      <w:pPr>
        <w:spacing w:line="480" w:lineRule="auto"/>
        <w:jc w:val="left"/>
        <w:rPr>
          <w:rFonts w:hint="eastAsia" w:ascii="宋体" w:hAnsi="宋体"/>
          <w:b/>
          <w:sz w:val="32"/>
          <w:szCs w:val="32"/>
        </w:rPr>
      </w:pPr>
      <w:r>
        <w:rPr>
          <w:rFonts w:hint="eastAsia" w:ascii="宋体" w:hAnsi="宋体"/>
          <w:b/>
          <w:sz w:val="32"/>
          <w:szCs w:val="32"/>
        </w:rPr>
        <w:t>法定代表人或授权委托人：___________（签字或盖章）</w:t>
      </w:r>
    </w:p>
    <w:p w14:paraId="1BA85ED1">
      <w:pPr>
        <w:spacing w:line="480" w:lineRule="auto"/>
        <w:jc w:val="left"/>
        <w:rPr>
          <w:rFonts w:hint="eastAsia" w:ascii="宋体" w:hAnsi="宋体"/>
          <w:b/>
          <w:sz w:val="32"/>
          <w:szCs w:val="32"/>
        </w:rPr>
      </w:pPr>
    </w:p>
    <w:p w14:paraId="254A433B">
      <w:pPr>
        <w:spacing w:line="480" w:lineRule="auto"/>
        <w:jc w:val="center"/>
        <w:rPr>
          <w:rFonts w:hint="eastAsia" w:ascii="宋体" w:hAnsi="宋体"/>
          <w:b/>
          <w:sz w:val="32"/>
          <w:szCs w:val="32"/>
        </w:rPr>
        <w:sectPr>
          <w:pgSz w:w="11906" w:h="16838"/>
          <w:pgMar w:top="1440" w:right="1800" w:bottom="1440" w:left="1800" w:header="851" w:footer="992" w:gutter="0"/>
          <w:cols w:space="720" w:num="1"/>
          <w:docGrid w:linePitch="360" w:charSpace="0"/>
        </w:sectPr>
      </w:pPr>
      <w:r>
        <w:rPr>
          <w:rFonts w:hint="eastAsia" w:ascii="宋体" w:hAnsi="宋体"/>
          <w:b/>
          <w:sz w:val="32"/>
          <w:szCs w:val="32"/>
        </w:rPr>
        <w:t>年    月   日</w:t>
      </w:r>
    </w:p>
    <w:p w14:paraId="2D01F6F7">
      <w:pPr>
        <w:pStyle w:val="3"/>
        <w:spacing w:before="0" w:after="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响应文件评审索引表</w:t>
      </w:r>
      <w:bookmarkEnd w:id="744"/>
      <w:bookmarkEnd w:id="745"/>
    </w:p>
    <w:p w14:paraId="3F6C34FA">
      <w:pPr>
        <w:pStyle w:val="3"/>
        <w:spacing w:before="0" w:after="0"/>
        <w:jc w:val="center"/>
        <w:rPr>
          <w:rFonts w:hint="eastAsia" w:asciiTheme="minorEastAsia" w:hAnsiTheme="minorEastAsia" w:eastAsiaTheme="minorEastAsia" w:cstheme="minorEastAsia"/>
          <w:color w:val="auto"/>
          <w:sz w:val="24"/>
        </w:rPr>
      </w:pPr>
      <w:bookmarkStart w:id="749" w:name="_Toc116114639"/>
      <w:bookmarkStart w:id="750" w:name="_Toc28739"/>
      <w:r>
        <w:rPr>
          <w:rFonts w:hint="eastAsia" w:asciiTheme="minorEastAsia" w:hAnsiTheme="minorEastAsia" w:eastAsiaTheme="minorEastAsia" w:cstheme="minorEastAsia"/>
          <w:color w:val="auto"/>
          <w:sz w:val="24"/>
        </w:rPr>
        <w:t>评审索引表</w:t>
      </w:r>
      <w:bookmarkEnd w:id="749"/>
      <w:bookmarkEnd w:id="750"/>
    </w:p>
    <w:tbl>
      <w:tblPr>
        <w:tblStyle w:val="4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147"/>
        <w:gridCol w:w="1556"/>
        <w:gridCol w:w="2366"/>
      </w:tblGrid>
      <w:tr w14:paraId="3C6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35392D18">
            <w:pPr>
              <w:jc w:val="center"/>
              <w:rPr>
                <w:rFonts w:ascii="宋体"/>
                <w:szCs w:val="21"/>
              </w:rPr>
            </w:pPr>
            <w:bookmarkStart w:id="751" w:name="_Toc116114640"/>
            <w:bookmarkStart w:id="752" w:name="_Toc438052120"/>
            <w:r>
              <w:rPr>
                <w:rFonts w:hint="eastAsia" w:ascii="宋体"/>
                <w:szCs w:val="21"/>
              </w:rPr>
              <w:t>编号</w:t>
            </w:r>
          </w:p>
        </w:tc>
        <w:tc>
          <w:tcPr>
            <w:tcW w:w="3147" w:type="dxa"/>
            <w:vAlign w:val="center"/>
          </w:tcPr>
          <w:p w14:paraId="6D83B620">
            <w:pPr>
              <w:jc w:val="center"/>
              <w:rPr>
                <w:rFonts w:ascii="宋体"/>
                <w:szCs w:val="21"/>
              </w:rPr>
            </w:pPr>
            <w:r>
              <w:rPr>
                <w:rFonts w:hint="eastAsia" w:ascii="宋体"/>
                <w:szCs w:val="21"/>
              </w:rPr>
              <w:t>评审因素</w:t>
            </w:r>
          </w:p>
        </w:tc>
        <w:tc>
          <w:tcPr>
            <w:tcW w:w="1556" w:type="dxa"/>
            <w:vAlign w:val="center"/>
          </w:tcPr>
          <w:p w14:paraId="70EEE39B">
            <w:pPr>
              <w:jc w:val="center"/>
              <w:rPr>
                <w:rFonts w:ascii="宋体"/>
                <w:szCs w:val="21"/>
              </w:rPr>
            </w:pPr>
            <w:r>
              <w:rPr>
                <w:rFonts w:hint="eastAsia" w:ascii="宋体"/>
                <w:szCs w:val="21"/>
              </w:rPr>
              <w:t>对应页码</w:t>
            </w:r>
          </w:p>
        </w:tc>
        <w:tc>
          <w:tcPr>
            <w:tcW w:w="2366" w:type="dxa"/>
            <w:vAlign w:val="center"/>
          </w:tcPr>
          <w:p w14:paraId="179EA66D">
            <w:pPr>
              <w:jc w:val="center"/>
              <w:rPr>
                <w:rFonts w:ascii="宋体"/>
                <w:szCs w:val="21"/>
              </w:rPr>
            </w:pPr>
            <w:r>
              <w:rPr>
                <w:rFonts w:hint="eastAsia" w:ascii="宋体"/>
                <w:szCs w:val="21"/>
              </w:rPr>
              <w:t>备注或者说明</w:t>
            </w:r>
          </w:p>
        </w:tc>
      </w:tr>
      <w:tr w14:paraId="2802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9864BC8">
            <w:pPr>
              <w:tabs>
                <w:tab w:val="left" w:pos="720"/>
              </w:tabs>
              <w:spacing w:line="360" w:lineRule="auto"/>
              <w:ind w:left="-2" w:firstLine="1"/>
              <w:jc w:val="center"/>
              <w:rPr>
                <w:rFonts w:ascii="宋体"/>
                <w:szCs w:val="21"/>
              </w:rPr>
            </w:pPr>
            <w:r>
              <w:rPr>
                <w:rFonts w:hint="eastAsia" w:ascii="宋体"/>
                <w:szCs w:val="21"/>
              </w:rPr>
              <w:t>1</w:t>
            </w:r>
          </w:p>
        </w:tc>
        <w:tc>
          <w:tcPr>
            <w:tcW w:w="3147" w:type="dxa"/>
            <w:vAlign w:val="center"/>
          </w:tcPr>
          <w:p w14:paraId="4016170A">
            <w:pPr>
              <w:spacing w:line="360" w:lineRule="auto"/>
              <w:ind w:left="-2" w:firstLine="1"/>
              <w:jc w:val="center"/>
              <w:rPr>
                <w:rFonts w:ascii="宋体"/>
                <w:szCs w:val="21"/>
              </w:rPr>
            </w:pPr>
          </w:p>
        </w:tc>
        <w:tc>
          <w:tcPr>
            <w:tcW w:w="1556" w:type="dxa"/>
            <w:vAlign w:val="center"/>
          </w:tcPr>
          <w:p w14:paraId="2A7EBD3D">
            <w:pPr>
              <w:tabs>
                <w:tab w:val="left" w:pos="720"/>
              </w:tabs>
              <w:spacing w:line="360" w:lineRule="auto"/>
              <w:jc w:val="center"/>
              <w:rPr>
                <w:rFonts w:ascii="宋体"/>
                <w:szCs w:val="21"/>
              </w:rPr>
            </w:pPr>
          </w:p>
        </w:tc>
        <w:tc>
          <w:tcPr>
            <w:tcW w:w="2366" w:type="dxa"/>
            <w:vAlign w:val="center"/>
          </w:tcPr>
          <w:p w14:paraId="5B2EA87F">
            <w:pPr>
              <w:tabs>
                <w:tab w:val="left" w:pos="720"/>
              </w:tabs>
              <w:spacing w:line="360" w:lineRule="auto"/>
              <w:jc w:val="center"/>
              <w:rPr>
                <w:rFonts w:ascii="宋体"/>
                <w:szCs w:val="21"/>
              </w:rPr>
            </w:pPr>
          </w:p>
        </w:tc>
      </w:tr>
      <w:tr w14:paraId="5BB3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1540F1B1">
            <w:pPr>
              <w:tabs>
                <w:tab w:val="left" w:pos="720"/>
              </w:tabs>
              <w:spacing w:line="360" w:lineRule="auto"/>
              <w:jc w:val="center"/>
              <w:rPr>
                <w:rFonts w:ascii="宋体" w:cs="宋体"/>
                <w:szCs w:val="21"/>
              </w:rPr>
            </w:pPr>
            <w:r>
              <w:rPr>
                <w:rFonts w:hint="eastAsia" w:ascii="宋体" w:cs="宋体"/>
                <w:szCs w:val="21"/>
              </w:rPr>
              <w:t>2</w:t>
            </w:r>
          </w:p>
        </w:tc>
        <w:tc>
          <w:tcPr>
            <w:tcW w:w="3147" w:type="dxa"/>
            <w:vAlign w:val="center"/>
          </w:tcPr>
          <w:p w14:paraId="7784C2A7">
            <w:pPr>
              <w:spacing w:line="360" w:lineRule="auto"/>
              <w:ind w:left="-2" w:firstLine="1"/>
              <w:jc w:val="center"/>
              <w:rPr>
                <w:rFonts w:ascii="宋体" w:cs="宋体"/>
                <w:szCs w:val="21"/>
              </w:rPr>
            </w:pPr>
          </w:p>
        </w:tc>
        <w:tc>
          <w:tcPr>
            <w:tcW w:w="1556" w:type="dxa"/>
            <w:vAlign w:val="center"/>
          </w:tcPr>
          <w:p w14:paraId="3B2C7914">
            <w:pPr>
              <w:tabs>
                <w:tab w:val="left" w:pos="720"/>
              </w:tabs>
              <w:spacing w:line="360" w:lineRule="auto"/>
              <w:jc w:val="center"/>
              <w:rPr>
                <w:rFonts w:ascii="宋体"/>
                <w:szCs w:val="21"/>
              </w:rPr>
            </w:pPr>
          </w:p>
        </w:tc>
        <w:tc>
          <w:tcPr>
            <w:tcW w:w="2366" w:type="dxa"/>
            <w:vAlign w:val="center"/>
          </w:tcPr>
          <w:p w14:paraId="342DCA36">
            <w:pPr>
              <w:tabs>
                <w:tab w:val="left" w:pos="720"/>
              </w:tabs>
              <w:spacing w:line="360" w:lineRule="auto"/>
              <w:jc w:val="center"/>
              <w:rPr>
                <w:rFonts w:ascii="宋体"/>
                <w:szCs w:val="21"/>
              </w:rPr>
            </w:pPr>
          </w:p>
        </w:tc>
      </w:tr>
      <w:tr w14:paraId="1392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05CCCCC3">
            <w:pPr>
              <w:tabs>
                <w:tab w:val="left" w:pos="720"/>
              </w:tabs>
              <w:spacing w:line="360" w:lineRule="auto"/>
              <w:jc w:val="center"/>
              <w:rPr>
                <w:rFonts w:ascii="宋体" w:cs="宋体"/>
                <w:szCs w:val="21"/>
              </w:rPr>
            </w:pPr>
            <w:r>
              <w:rPr>
                <w:rFonts w:hint="eastAsia" w:ascii="宋体" w:cs="宋体"/>
                <w:szCs w:val="21"/>
              </w:rPr>
              <w:t>3</w:t>
            </w:r>
          </w:p>
        </w:tc>
        <w:tc>
          <w:tcPr>
            <w:tcW w:w="3147" w:type="dxa"/>
            <w:vAlign w:val="center"/>
          </w:tcPr>
          <w:p w14:paraId="1CD80F96">
            <w:pPr>
              <w:spacing w:line="360" w:lineRule="auto"/>
              <w:jc w:val="center"/>
              <w:rPr>
                <w:rFonts w:ascii="宋体" w:cs="宋体"/>
                <w:szCs w:val="21"/>
              </w:rPr>
            </w:pPr>
          </w:p>
        </w:tc>
        <w:tc>
          <w:tcPr>
            <w:tcW w:w="1556" w:type="dxa"/>
            <w:vAlign w:val="center"/>
          </w:tcPr>
          <w:p w14:paraId="27DAB08E">
            <w:pPr>
              <w:tabs>
                <w:tab w:val="left" w:pos="720"/>
              </w:tabs>
              <w:spacing w:line="360" w:lineRule="auto"/>
              <w:jc w:val="center"/>
              <w:rPr>
                <w:rFonts w:ascii="宋体"/>
                <w:szCs w:val="21"/>
              </w:rPr>
            </w:pPr>
          </w:p>
        </w:tc>
        <w:tc>
          <w:tcPr>
            <w:tcW w:w="2366" w:type="dxa"/>
            <w:vAlign w:val="center"/>
          </w:tcPr>
          <w:p w14:paraId="0BB400DF">
            <w:pPr>
              <w:tabs>
                <w:tab w:val="left" w:pos="720"/>
              </w:tabs>
              <w:spacing w:line="360" w:lineRule="auto"/>
              <w:jc w:val="center"/>
              <w:rPr>
                <w:rFonts w:ascii="宋体"/>
                <w:szCs w:val="21"/>
              </w:rPr>
            </w:pPr>
          </w:p>
        </w:tc>
      </w:tr>
      <w:tr w14:paraId="4748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59D4A9E">
            <w:pPr>
              <w:tabs>
                <w:tab w:val="left" w:pos="720"/>
              </w:tabs>
              <w:spacing w:line="360" w:lineRule="auto"/>
              <w:jc w:val="center"/>
              <w:rPr>
                <w:rFonts w:ascii="宋体" w:cs="宋体"/>
                <w:szCs w:val="21"/>
              </w:rPr>
            </w:pPr>
            <w:r>
              <w:rPr>
                <w:rFonts w:hint="eastAsia" w:ascii="宋体" w:cs="宋体"/>
                <w:szCs w:val="21"/>
              </w:rPr>
              <w:t>4</w:t>
            </w:r>
          </w:p>
        </w:tc>
        <w:tc>
          <w:tcPr>
            <w:tcW w:w="3147" w:type="dxa"/>
            <w:vAlign w:val="center"/>
          </w:tcPr>
          <w:p w14:paraId="5E447DEB">
            <w:pPr>
              <w:spacing w:line="360" w:lineRule="auto"/>
              <w:jc w:val="center"/>
            </w:pPr>
          </w:p>
        </w:tc>
        <w:tc>
          <w:tcPr>
            <w:tcW w:w="1556" w:type="dxa"/>
            <w:vAlign w:val="center"/>
          </w:tcPr>
          <w:p w14:paraId="049F7724">
            <w:pPr>
              <w:tabs>
                <w:tab w:val="left" w:pos="720"/>
              </w:tabs>
              <w:spacing w:line="360" w:lineRule="auto"/>
              <w:jc w:val="center"/>
              <w:rPr>
                <w:rFonts w:ascii="宋体"/>
                <w:szCs w:val="21"/>
              </w:rPr>
            </w:pPr>
          </w:p>
        </w:tc>
        <w:tc>
          <w:tcPr>
            <w:tcW w:w="2366" w:type="dxa"/>
            <w:vAlign w:val="center"/>
          </w:tcPr>
          <w:p w14:paraId="74AA6097">
            <w:pPr>
              <w:tabs>
                <w:tab w:val="left" w:pos="720"/>
              </w:tabs>
              <w:spacing w:line="360" w:lineRule="auto"/>
              <w:jc w:val="center"/>
              <w:rPr>
                <w:rFonts w:ascii="宋体"/>
                <w:szCs w:val="21"/>
              </w:rPr>
            </w:pPr>
          </w:p>
        </w:tc>
      </w:tr>
      <w:tr w14:paraId="2D3C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00DF657">
            <w:pPr>
              <w:tabs>
                <w:tab w:val="left" w:pos="720"/>
              </w:tabs>
              <w:spacing w:line="360" w:lineRule="auto"/>
              <w:jc w:val="center"/>
              <w:rPr>
                <w:rFonts w:ascii="宋体" w:cs="宋体"/>
                <w:szCs w:val="21"/>
              </w:rPr>
            </w:pPr>
            <w:r>
              <w:rPr>
                <w:rFonts w:hint="eastAsia" w:ascii="宋体" w:cs="宋体"/>
                <w:szCs w:val="21"/>
              </w:rPr>
              <w:t>5</w:t>
            </w:r>
          </w:p>
        </w:tc>
        <w:tc>
          <w:tcPr>
            <w:tcW w:w="3147" w:type="dxa"/>
            <w:vAlign w:val="center"/>
          </w:tcPr>
          <w:p w14:paraId="72B050A7">
            <w:pPr>
              <w:spacing w:line="360" w:lineRule="auto"/>
              <w:jc w:val="center"/>
            </w:pPr>
          </w:p>
        </w:tc>
        <w:tc>
          <w:tcPr>
            <w:tcW w:w="1556" w:type="dxa"/>
            <w:vAlign w:val="center"/>
          </w:tcPr>
          <w:p w14:paraId="711309D5">
            <w:pPr>
              <w:tabs>
                <w:tab w:val="left" w:pos="720"/>
              </w:tabs>
              <w:spacing w:line="360" w:lineRule="auto"/>
              <w:jc w:val="center"/>
              <w:rPr>
                <w:rFonts w:ascii="宋体"/>
                <w:szCs w:val="21"/>
              </w:rPr>
            </w:pPr>
          </w:p>
        </w:tc>
        <w:tc>
          <w:tcPr>
            <w:tcW w:w="2366" w:type="dxa"/>
            <w:vAlign w:val="center"/>
          </w:tcPr>
          <w:p w14:paraId="026D1144">
            <w:pPr>
              <w:tabs>
                <w:tab w:val="left" w:pos="720"/>
              </w:tabs>
              <w:spacing w:line="360" w:lineRule="auto"/>
              <w:jc w:val="center"/>
              <w:rPr>
                <w:rFonts w:ascii="宋体"/>
                <w:szCs w:val="21"/>
              </w:rPr>
            </w:pPr>
          </w:p>
        </w:tc>
      </w:tr>
      <w:tr w14:paraId="3AF4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3A2AC6F">
            <w:pPr>
              <w:tabs>
                <w:tab w:val="left" w:pos="720"/>
              </w:tabs>
              <w:spacing w:line="360" w:lineRule="auto"/>
              <w:jc w:val="center"/>
              <w:rPr>
                <w:rFonts w:ascii="宋体" w:cs="宋体"/>
                <w:szCs w:val="21"/>
              </w:rPr>
            </w:pPr>
            <w:r>
              <w:rPr>
                <w:rFonts w:hint="eastAsia" w:ascii="宋体"/>
                <w:szCs w:val="21"/>
              </w:rPr>
              <w:t>6</w:t>
            </w:r>
          </w:p>
        </w:tc>
        <w:tc>
          <w:tcPr>
            <w:tcW w:w="3147" w:type="dxa"/>
            <w:vAlign w:val="center"/>
          </w:tcPr>
          <w:p w14:paraId="42BE22A6">
            <w:pPr>
              <w:jc w:val="center"/>
            </w:pPr>
          </w:p>
        </w:tc>
        <w:tc>
          <w:tcPr>
            <w:tcW w:w="1556" w:type="dxa"/>
            <w:vAlign w:val="center"/>
          </w:tcPr>
          <w:p w14:paraId="13440BC1">
            <w:pPr>
              <w:tabs>
                <w:tab w:val="left" w:pos="720"/>
              </w:tabs>
              <w:spacing w:line="360" w:lineRule="auto"/>
              <w:jc w:val="center"/>
              <w:rPr>
                <w:rFonts w:ascii="宋体"/>
                <w:szCs w:val="21"/>
              </w:rPr>
            </w:pPr>
          </w:p>
        </w:tc>
        <w:tc>
          <w:tcPr>
            <w:tcW w:w="2366" w:type="dxa"/>
            <w:vAlign w:val="center"/>
          </w:tcPr>
          <w:p w14:paraId="3483AF99">
            <w:pPr>
              <w:tabs>
                <w:tab w:val="left" w:pos="720"/>
              </w:tabs>
              <w:spacing w:line="360" w:lineRule="auto"/>
              <w:jc w:val="center"/>
              <w:rPr>
                <w:rFonts w:ascii="宋体"/>
                <w:szCs w:val="21"/>
              </w:rPr>
            </w:pPr>
          </w:p>
        </w:tc>
      </w:tr>
      <w:tr w14:paraId="1961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B5A719D">
            <w:pPr>
              <w:tabs>
                <w:tab w:val="left" w:pos="720"/>
              </w:tabs>
              <w:spacing w:line="360" w:lineRule="auto"/>
              <w:jc w:val="center"/>
              <w:rPr>
                <w:rFonts w:ascii="宋体"/>
                <w:szCs w:val="21"/>
              </w:rPr>
            </w:pPr>
            <w:r>
              <w:rPr>
                <w:rFonts w:hint="eastAsia" w:ascii="宋体"/>
                <w:szCs w:val="21"/>
              </w:rPr>
              <w:t>7</w:t>
            </w:r>
          </w:p>
        </w:tc>
        <w:tc>
          <w:tcPr>
            <w:tcW w:w="3147" w:type="dxa"/>
            <w:vAlign w:val="center"/>
          </w:tcPr>
          <w:p w14:paraId="67C56A93">
            <w:pPr>
              <w:spacing w:line="360" w:lineRule="auto"/>
              <w:jc w:val="center"/>
              <w:rPr>
                <w:sz w:val="22"/>
                <w:szCs w:val="22"/>
              </w:rPr>
            </w:pPr>
          </w:p>
        </w:tc>
        <w:tc>
          <w:tcPr>
            <w:tcW w:w="1556" w:type="dxa"/>
            <w:vAlign w:val="center"/>
          </w:tcPr>
          <w:p w14:paraId="1B9681BD">
            <w:pPr>
              <w:tabs>
                <w:tab w:val="left" w:pos="720"/>
              </w:tabs>
              <w:spacing w:line="360" w:lineRule="auto"/>
              <w:jc w:val="center"/>
              <w:rPr>
                <w:rFonts w:ascii="宋体"/>
                <w:szCs w:val="21"/>
              </w:rPr>
            </w:pPr>
          </w:p>
        </w:tc>
        <w:tc>
          <w:tcPr>
            <w:tcW w:w="2366" w:type="dxa"/>
            <w:vAlign w:val="center"/>
          </w:tcPr>
          <w:p w14:paraId="77FBFE8E">
            <w:pPr>
              <w:tabs>
                <w:tab w:val="left" w:pos="720"/>
              </w:tabs>
              <w:spacing w:line="360" w:lineRule="auto"/>
              <w:jc w:val="center"/>
              <w:rPr>
                <w:rFonts w:ascii="宋体"/>
                <w:szCs w:val="21"/>
              </w:rPr>
            </w:pPr>
          </w:p>
        </w:tc>
      </w:tr>
      <w:tr w14:paraId="68D2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0131E56">
            <w:pPr>
              <w:tabs>
                <w:tab w:val="left" w:pos="720"/>
              </w:tabs>
              <w:spacing w:line="360" w:lineRule="auto"/>
              <w:jc w:val="center"/>
              <w:rPr>
                <w:rFonts w:ascii="宋体"/>
                <w:szCs w:val="21"/>
              </w:rPr>
            </w:pPr>
            <w:r>
              <w:rPr>
                <w:rFonts w:hint="eastAsia" w:ascii="宋体"/>
                <w:szCs w:val="21"/>
              </w:rPr>
              <w:t>8</w:t>
            </w:r>
          </w:p>
        </w:tc>
        <w:tc>
          <w:tcPr>
            <w:tcW w:w="3147" w:type="dxa"/>
            <w:vAlign w:val="center"/>
          </w:tcPr>
          <w:p w14:paraId="087FAD80">
            <w:pPr>
              <w:spacing w:line="360" w:lineRule="auto"/>
              <w:jc w:val="center"/>
              <w:rPr>
                <w:sz w:val="22"/>
                <w:szCs w:val="22"/>
              </w:rPr>
            </w:pPr>
          </w:p>
        </w:tc>
        <w:tc>
          <w:tcPr>
            <w:tcW w:w="1556" w:type="dxa"/>
            <w:vAlign w:val="center"/>
          </w:tcPr>
          <w:p w14:paraId="252FBC54">
            <w:pPr>
              <w:tabs>
                <w:tab w:val="left" w:pos="720"/>
              </w:tabs>
              <w:spacing w:line="360" w:lineRule="auto"/>
              <w:jc w:val="center"/>
              <w:rPr>
                <w:rFonts w:ascii="宋体"/>
                <w:szCs w:val="21"/>
              </w:rPr>
            </w:pPr>
          </w:p>
        </w:tc>
        <w:tc>
          <w:tcPr>
            <w:tcW w:w="2366" w:type="dxa"/>
            <w:vAlign w:val="center"/>
          </w:tcPr>
          <w:p w14:paraId="3358982A">
            <w:pPr>
              <w:tabs>
                <w:tab w:val="left" w:pos="720"/>
              </w:tabs>
              <w:spacing w:line="360" w:lineRule="auto"/>
              <w:jc w:val="center"/>
              <w:rPr>
                <w:rFonts w:ascii="宋体"/>
                <w:szCs w:val="21"/>
              </w:rPr>
            </w:pPr>
          </w:p>
        </w:tc>
      </w:tr>
      <w:tr w14:paraId="6FA7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99AD621">
            <w:pPr>
              <w:tabs>
                <w:tab w:val="left" w:pos="720"/>
              </w:tabs>
              <w:spacing w:line="360" w:lineRule="auto"/>
              <w:jc w:val="center"/>
              <w:rPr>
                <w:rFonts w:ascii="宋体"/>
                <w:szCs w:val="21"/>
              </w:rPr>
            </w:pPr>
            <w:r>
              <w:rPr>
                <w:rFonts w:hint="eastAsia" w:ascii="宋体"/>
                <w:szCs w:val="21"/>
              </w:rPr>
              <w:t>9</w:t>
            </w:r>
          </w:p>
        </w:tc>
        <w:tc>
          <w:tcPr>
            <w:tcW w:w="3147" w:type="dxa"/>
            <w:vAlign w:val="center"/>
          </w:tcPr>
          <w:p w14:paraId="7415AF70">
            <w:pPr>
              <w:spacing w:line="360" w:lineRule="auto"/>
              <w:jc w:val="center"/>
              <w:rPr>
                <w:sz w:val="22"/>
                <w:szCs w:val="22"/>
              </w:rPr>
            </w:pPr>
          </w:p>
        </w:tc>
        <w:tc>
          <w:tcPr>
            <w:tcW w:w="1556" w:type="dxa"/>
            <w:vAlign w:val="center"/>
          </w:tcPr>
          <w:p w14:paraId="7EF85AC3">
            <w:pPr>
              <w:tabs>
                <w:tab w:val="left" w:pos="720"/>
              </w:tabs>
              <w:spacing w:line="360" w:lineRule="auto"/>
              <w:jc w:val="center"/>
              <w:rPr>
                <w:rFonts w:ascii="宋体"/>
                <w:szCs w:val="21"/>
              </w:rPr>
            </w:pPr>
          </w:p>
        </w:tc>
        <w:tc>
          <w:tcPr>
            <w:tcW w:w="2366" w:type="dxa"/>
            <w:vAlign w:val="center"/>
          </w:tcPr>
          <w:p w14:paraId="18BEED71">
            <w:pPr>
              <w:tabs>
                <w:tab w:val="left" w:pos="720"/>
              </w:tabs>
              <w:spacing w:line="360" w:lineRule="auto"/>
              <w:jc w:val="center"/>
              <w:rPr>
                <w:rFonts w:ascii="宋体"/>
                <w:szCs w:val="21"/>
              </w:rPr>
            </w:pPr>
          </w:p>
        </w:tc>
      </w:tr>
      <w:tr w14:paraId="47BE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144753E3">
            <w:pPr>
              <w:tabs>
                <w:tab w:val="left" w:pos="720"/>
              </w:tabs>
              <w:spacing w:line="360" w:lineRule="auto"/>
              <w:jc w:val="center"/>
              <w:rPr>
                <w:rFonts w:ascii="宋体"/>
                <w:szCs w:val="21"/>
              </w:rPr>
            </w:pPr>
            <w:r>
              <w:rPr>
                <w:rFonts w:hint="eastAsia" w:ascii="宋体"/>
                <w:szCs w:val="21"/>
              </w:rPr>
              <w:t>10</w:t>
            </w:r>
          </w:p>
        </w:tc>
        <w:tc>
          <w:tcPr>
            <w:tcW w:w="3147" w:type="dxa"/>
            <w:vAlign w:val="center"/>
          </w:tcPr>
          <w:p w14:paraId="0F69DB59">
            <w:pPr>
              <w:spacing w:line="360" w:lineRule="auto"/>
              <w:jc w:val="center"/>
              <w:rPr>
                <w:sz w:val="22"/>
                <w:szCs w:val="22"/>
              </w:rPr>
            </w:pPr>
          </w:p>
        </w:tc>
        <w:tc>
          <w:tcPr>
            <w:tcW w:w="1556" w:type="dxa"/>
            <w:vAlign w:val="center"/>
          </w:tcPr>
          <w:p w14:paraId="6B109B6E">
            <w:pPr>
              <w:tabs>
                <w:tab w:val="left" w:pos="720"/>
              </w:tabs>
              <w:spacing w:line="360" w:lineRule="auto"/>
              <w:jc w:val="center"/>
              <w:rPr>
                <w:rFonts w:ascii="宋体"/>
                <w:szCs w:val="21"/>
              </w:rPr>
            </w:pPr>
          </w:p>
        </w:tc>
        <w:tc>
          <w:tcPr>
            <w:tcW w:w="2366" w:type="dxa"/>
            <w:vAlign w:val="center"/>
          </w:tcPr>
          <w:p w14:paraId="7727AA57">
            <w:pPr>
              <w:tabs>
                <w:tab w:val="left" w:pos="720"/>
              </w:tabs>
              <w:spacing w:line="360" w:lineRule="auto"/>
              <w:jc w:val="center"/>
              <w:rPr>
                <w:rFonts w:ascii="宋体"/>
                <w:szCs w:val="21"/>
              </w:rPr>
            </w:pPr>
          </w:p>
        </w:tc>
      </w:tr>
      <w:tr w14:paraId="6223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EF0C6AF">
            <w:pPr>
              <w:tabs>
                <w:tab w:val="left" w:pos="720"/>
              </w:tabs>
              <w:spacing w:line="360" w:lineRule="auto"/>
              <w:jc w:val="center"/>
              <w:rPr>
                <w:rFonts w:ascii="宋体"/>
                <w:szCs w:val="21"/>
              </w:rPr>
            </w:pPr>
            <w:r>
              <w:rPr>
                <w:rFonts w:hint="eastAsia" w:ascii="宋体"/>
                <w:szCs w:val="21"/>
              </w:rPr>
              <w:t>11</w:t>
            </w:r>
          </w:p>
        </w:tc>
        <w:tc>
          <w:tcPr>
            <w:tcW w:w="3147" w:type="dxa"/>
            <w:vAlign w:val="center"/>
          </w:tcPr>
          <w:p w14:paraId="7603145E">
            <w:pPr>
              <w:spacing w:line="360" w:lineRule="auto"/>
              <w:jc w:val="center"/>
              <w:rPr>
                <w:sz w:val="22"/>
                <w:szCs w:val="22"/>
              </w:rPr>
            </w:pPr>
          </w:p>
        </w:tc>
        <w:tc>
          <w:tcPr>
            <w:tcW w:w="1556" w:type="dxa"/>
            <w:vAlign w:val="center"/>
          </w:tcPr>
          <w:p w14:paraId="6F315075">
            <w:pPr>
              <w:tabs>
                <w:tab w:val="left" w:pos="720"/>
              </w:tabs>
              <w:spacing w:line="360" w:lineRule="auto"/>
              <w:jc w:val="center"/>
              <w:rPr>
                <w:rFonts w:ascii="宋体"/>
                <w:szCs w:val="21"/>
              </w:rPr>
            </w:pPr>
          </w:p>
        </w:tc>
        <w:tc>
          <w:tcPr>
            <w:tcW w:w="2366" w:type="dxa"/>
            <w:vAlign w:val="center"/>
          </w:tcPr>
          <w:p w14:paraId="51E89183">
            <w:pPr>
              <w:tabs>
                <w:tab w:val="left" w:pos="720"/>
              </w:tabs>
              <w:spacing w:line="360" w:lineRule="auto"/>
              <w:jc w:val="center"/>
              <w:rPr>
                <w:rFonts w:ascii="宋体"/>
                <w:szCs w:val="21"/>
              </w:rPr>
            </w:pPr>
          </w:p>
        </w:tc>
      </w:tr>
      <w:tr w14:paraId="488A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BD83E5A">
            <w:pPr>
              <w:tabs>
                <w:tab w:val="left" w:pos="720"/>
              </w:tabs>
              <w:spacing w:line="360" w:lineRule="auto"/>
              <w:jc w:val="center"/>
              <w:rPr>
                <w:rFonts w:ascii="宋体"/>
                <w:szCs w:val="21"/>
              </w:rPr>
            </w:pPr>
            <w:r>
              <w:rPr>
                <w:rFonts w:ascii="宋体"/>
                <w:szCs w:val="21"/>
              </w:rPr>
              <w:t>1</w:t>
            </w:r>
            <w:r>
              <w:rPr>
                <w:rFonts w:hint="eastAsia" w:ascii="宋体"/>
                <w:szCs w:val="21"/>
              </w:rPr>
              <w:t>2</w:t>
            </w:r>
          </w:p>
        </w:tc>
        <w:tc>
          <w:tcPr>
            <w:tcW w:w="3147" w:type="dxa"/>
            <w:vAlign w:val="center"/>
          </w:tcPr>
          <w:p w14:paraId="31DCF590">
            <w:pPr>
              <w:spacing w:line="360" w:lineRule="auto"/>
              <w:jc w:val="center"/>
              <w:rPr>
                <w:sz w:val="22"/>
                <w:szCs w:val="22"/>
              </w:rPr>
            </w:pPr>
          </w:p>
        </w:tc>
        <w:tc>
          <w:tcPr>
            <w:tcW w:w="1556" w:type="dxa"/>
            <w:vAlign w:val="center"/>
          </w:tcPr>
          <w:p w14:paraId="04C55A53">
            <w:pPr>
              <w:tabs>
                <w:tab w:val="left" w:pos="720"/>
              </w:tabs>
              <w:spacing w:line="360" w:lineRule="auto"/>
              <w:jc w:val="center"/>
              <w:rPr>
                <w:rFonts w:ascii="宋体"/>
                <w:szCs w:val="21"/>
              </w:rPr>
            </w:pPr>
          </w:p>
        </w:tc>
        <w:tc>
          <w:tcPr>
            <w:tcW w:w="2366" w:type="dxa"/>
            <w:vAlign w:val="center"/>
          </w:tcPr>
          <w:p w14:paraId="2226E0CB">
            <w:pPr>
              <w:tabs>
                <w:tab w:val="left" w:pos="720"/>
              </w:tabs>
              <w:spacing w:line="360" w:lineRule="auto"/>
              <w:jc w:val="center"/>
              <w:rPr>
                <w:rFonts w:ascii="宋体"/>
                <w:szCs w:val="21"/>
              </w:rPr>
            </w:pPr>
          </w:p>
        </w:tc>
      </w:tr>
      <w:tr w14:paraId="7AE9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0924C6FF">
            <w:pPr>
              <w:tabs>
                <w:tab w:val="left" w:pos="720"/>
              </w:tabs>
              <w:spacing w:line="360" w:lineRule="auto"/>
              <w:jc w:val="center"/>
              <w:rPr>
                <w:rFonts w:ascii="宋体"/>
                <w:szCs w:val="21"/>
              </w:rPr>
            </w:pPr>
            <w:r>
              <w:rPr>
                <w:rFonts w:hint="eastAsia" w:ascii="宋体"/>
                <w:szCs w:val="21"/>
              </w:rPr>
              <w:t>13</w:t>
            </w:r>
          </w:p>
        </w:tc>
        <w:tc>
          <w:tcPr>
            <w:tcW w:w="3147" w:type="dxa"/>
            <w:vAlign w:val="center"/>
          </w:tcPr>
          <w:p w14:paraId="62F2DDF4">
            <w:pPr>
              <w:spacing w:line="360" w:lineRule="auto"/>
              <w:jc w:val="center"/>
              <w:rPr>
                <w:sz w:val="22"/>
                <w:szCs w:val="22"/>
              </w:rPr>
            </w:pPr>
          </w:p>
        </w:tc>
        <w:tc>
          <w:tcPr>
            <w:tcW w:w="1556" w:type="dxa"/>
            <w:vAlign w:val="center"/>
          </w:tcPr>
          <w:p w14:paraId="1A39D81F">
            <w:pPr>
              <w:tabs>
                <w:tab w:val="left" w:pos="720"/>
              </w:tabs>
              <w:spacing w:line="360" w:lineRule="auto"/>
              <w:jc w:val="center"/>
              <w:rPr>
                <w:rFonts w:ascii="宋体"/>
                <w:szCs w:val="21"/>
              </w:rPr>
            </w:pPr>
          </w:p>
        </w:tc>
        <w:tc>
          <w:tcPr>
            <w:tcW w:w="2366" w:type="dxa"/>
            <w:vAlign w:val="center"/>
          </w:tcPr>
          <w:p w14:paraId="3824E81E">
            <w:pPr>
              <w:tabs>
                <w:tab w:val="left" w:pos="720"/>
              </w:tabs>
              <w:spacing w:line="360" w:lineRule="auto"/>
              <w:jc w:val="center"/>
              <w:rPr>
                <w:rFonts w:ascii="宋体"/>
                <w:szCs w:val="21"/>
              </w:rPr>
            </w:pPr>
          </w:p>
        </w:tc>
      </w:tr>
      <w:tr w14:paraId="1212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6CAC0827">
            <w:pPr>
              <w:tabs>
                <w:tab w:val="left" w:pos="720"/>
              </w:tabs>
              <w:spacing w:line="360" w:lineRule="auto"/>
              <w:jc w:val="center"/>
              <w:rPr>
                <w:rFonts w:ascii="宋体"/>
                <w:szCs w:val="21"/>
              </w:rPr>
            </w:pPr>
            <w:r>
              <w:rPr>
                <w:rFonts w:hint="eastAsia" w:ascii="宋体"/>
                <w:szCs w:val="21"/>
              </w:rPr>
              <w:t>14</w:t>
            </w:r>
          </w:p>
        </w:tc>
        <w:tc>
          <w:tcPr>
            <w:tcW w:w="3147" w:type="dxa"/>
            <w:vAlign w:val="center"/>
          </w:tcPr>
          <w:p w14:paraId="1EC1B6A2">
            <w:pPr>
              <w:spacing w:line="360" w:lineRule="auto"/>
              <w:jc w:val="center"/>
              <w:rPr>
                <w:sz w:val="22"/>
                <w:szCs w:val="22"/>
              </w:rPr>
            </w:pPr>
          </w:p>
        </w:tc>
        <w:tc>
          <w:tcPr>
            <w:tcW w:w="1556" w:type="dxa"/>
            <w:vAlign w:val="center"/>
          </w:tcPr>
          <w:p w14:paraId="08881F13">
            <w:pPr>
              <w:tabs>
                <w:tab w:val="left" w:pos="720"/>
              </w:tabs>
              <w:spacing w:line="360" w:lineRule="auto"/>
              <w:jc w:val="center"/>
              <w:rPr>
                <w:rFonts w:ascii="宋体"/>
                <w:szCs w:val="21"/>
              </w:rPr>
            </w:pPr>
          </w:p>
        </w:tc>
        <w:tc>
          <w:tcPr>
            <w:tcW w:w="2366" w:type="dxa"/>
            <w:vAlign w:val="center"/>
          </w:tcPr>
          <w:p w14:paraId="691CD48C">
            <w:pPr>
              <w:tabs>
                <w:tab w:val="left" w:pos="720"/>
              </w:tabs>
              <w:spacing w:line="360" w:lineRule="auto"/>
              <w:jc w:val="center"/>
              <w:rPr>
                <w:rFonts w:ascii="宋体"/>
                <w:szCs w:val="21"/>
              </w:rPr>
            </w:pPr>
          </w:p>
        </w:tc>
      </w:tr>
      <w:tr w14:paraId="7C65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79E7877D">
            <w:pPr>
              <w:tabs>
                <w:tab w:val="left" w:pos="720"/>
              </w:tabs>
              <w:spacing w:line="360" w:lineRule="auto"/>
              <w:jc w:val="center"/>
              <w:rPr>
                <w:rFonts w:ascii="宋体"/>
                <w:szCs w:val="21"/>
              </w:rPr>
            </w:pPr>
            <w:r>
              <w:rPr>
                <w:rFonts w:hint="eastAsia" w:ascii="宋体"/>
                <w:szCs w:val="21"/>
              </w:rPr>
              <w:t>15</w:t>
            </w:r>
          </w:p>
        </w:tc>
        <w:tc>
          <w:tcPr>
            <w:tcW w:w="3147" w:type="dxa"/>
            <w:vAlign w:val="center"/>
          </w:tcPr>
          <w:p w14:paraId="4245AE7C">
            <w:pPr>
              <w:spacing w:line="360" w:lineRule="auto"/>
              <w:jc w:val="center"/>
              <w:rPr>
                <w:sz w:val="22"/>
                <w:szCs w:val="22"/>
              </w:rPr>
            </w:pPr>
          </w:p>
        </w:tc>
        <w:tc>
          <w:tcPr>
            <w:tcW w:w="1556" w:type="dxa"/>
            <w:vAlign w:val="center"/>
          </w:tcPr>
          <w:p w14:paraId="0643B06E">
            <w:pPr>
              <w:tabs>
                <w:tab w:val="left" w:pos="720"/>
              </w:tabs>
              <w:spacing w:line="360" w:lineRule="auto"/>
              <w:ind w:left="420"/>
              <w:jc w:val="center"/>
              <w:rPr>
                <w:rFonts w:ascii="宋体"/>
                <w:szCs w:val="21"/>
              </w:rPr>
            </w:pPr>
          </w:p>
        </w:tc>
        <w:tc>
          <w:tcPr>
            <w:tcW w:w="2366" w:type="dxa"/>
            <w:vAlign w:val="center"/>
          </w:tcPr>
          <w:p w14:paraId="6DD41638">
            <w:pPr>
              <w:tabs>
                <w:tab w:val="left" w:pos="720"/>
              </w:tabs>
              <w:spacing w:line="360" w:lineRule="auto"/>
              <w:ind w:left="420"/>
              <w:jc w:val="center"/>
              <w:rPr>
                <w:rFonts w:ascii="宋体"/>
                <w:szCs w:val="21"/>
              </w:rPr>
            </w:pPr>
          </w:p>
        </w:tc>
      </w:tr>
      <w:tr w14:paraId="3B39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55520B55">
            <w:pPr>
              <w:tabs>
                <w:tab w:val="left" w:pos="720"/>
              </w:tabs>
              <w:spacing w:line="360" w:lineRule="auto"/>
              <w:jc w:val="center"/>
              <w:rPr>
                <w:rFonts w:ascii="宋体"/>
                <w:szCs w:val="21"/>
              </w:rPr>
            </w:pPr>
            <w:r>
              <w:rPr>
                <w:rFonts w:hint="eastAsia" w:ascii="宋体"/>
                <w:szCs w:val="21"/>
              </w:rPr>
              <w:t>16</w:t>
            </w:r>
          </w:p>
        </w:tc>
        <w:tc>
          <w:tcPr>
            <w:tcW w:w="3147" w:type="dxa"/>
            <w:vAlign w:val="center"/>
          </w:tcPr>
          <w:p w14:paraId="4789AFCB">
            <w:pPr>
              <w:spacing w:line="360" w:lineRule="auto"/>
              <w:jc w:val="center"/>
              <w:rPr>
                <w:sz w:val="22"/>
                <w:szCs w:val="22"/>
              </w:rPr>
            </w:pPr>
          </w:p>
        </w:tc>
        <w:tc>
          <w:tcPr>
            <w:tcW w:w="1556" w:type="dxa"/>
            <w:vAlign w:val="center"/>
          </w:tcPr>
          <w:p w14:paraId="0829D884">
            <w:pPr>
              <w:tabs>
                <w:tab w:val="left" w:pos="720"/>
              </w:tabs>
              <w:spacing w:line="360" w:lineRule="auto"/>
              <w:ind w:left="420"/>
              <w:jc w:val="center"/>
              <w:rPr>
                <w:rFonts w:ascii="宋体"/>
                <w:szCs w:val="21"/>
              </w:rPr>
            </w:pPr>
          </w:p>
        </w:tc>
        <w:tc>
          <w:tcPr>
            <w:tcW w:w="2366" w:type="dxa"/>
            <w:vAlign w:val="center"/>
          </w:tcPr>
          <w:p w14:paraId="4863E44B">
            <w:pPr>
              <w:tabs>
                <w:tab w:val="left" w:pos="720"/>
              </w:tabs>
              <w:spacing w:line="360" w:lineRule="auto"/>
              <w:ind w:left="420"/>
              <w:jc w:val="center"/>
              <w:rPr>
                <w:rFonts w:ascii="宋体"/>
                <w:szCs w:val="21"/>
              </w:rPr>
            </w:pPr>
          </w:p>
        </w:tc>
      </w:tr>
      <w:tr w14:paraId="7525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38895654">
            <w:pPr>
              <w:tabs>
                <w:tab w:val="left" w:pos="720"/>
              </w:tabs>
              <w:spacing w:line="360" w:lineRule="auto"/>
              <w:jc w:val="center"/>
              <w:rPr>
                <w:rFonts w:ascii="宋体"/>
                <w:szCs w:val="21"/>
              </w:rPr>
            </w:pPr>
            <w:r>
              <w:rPr>
                <w:rFonts w:hint="eastAsia" w:ascii="宋体"/>
                <w:szCs w:val="21"/>
              </w:rPr>
              <w:t>17</w:t>
            </w:r>
          </w:p>
        </w:tc>
        <w:tc>
          <w:tcPr>
            <w:tcW w:w="3147" w:type="dxa"/>
            <w:vAlign w:val="center"/>
          </w:tcPr>
          <w:p w14:paraId="07C1A3CB">
            <w:pPr>
              <w:spacing w:line="360" w:lineRule="auto"/>
              <w:jc w:val="center"/>
              <w:rPr>
                <w:sz w:val="22"/>
                <w:szCs w:val="22"/>
              </w:rPr>
            </w:pPr>
          </w:p>
        </w:tc>
        <w:tc>
          <w:tcPr>
            <w:tcW w:w="1556" w:type="dxa"/>
            <w:vAlign w:val="center"/>
          </w:tcPr>
          <w:p w14:paraId="2AB55CF8">
            <w:pPr>
              <w:tabs>
                <w:tab w:val="left" w:pos="720"/>
              </w:tabs>
              <w:spacing w:line="360" w:lineRule="auto"/>
              <w:ind w:left="420"/>
              <w:jc w:val="center"/>
              <w:rPr>
                <w:rFonts w:ascii="宋体"/>
                <w:szCs w:val="21"/>
              </w:rPr>
            </w:pPr>
          </w:p>
        </w:tc>
        <w:tc>
          <w:tcPr>
            <w:tcW w:w="2366" w:type="dxa"/>
            <w:vAlign w:val="center"/>
          </w:tcPr>
          <w:p w14:paraId="0ABC4EBE">
            <w:pPr>
              <w:tabs>
                <w:tab w:val="left" w:pos="720"/>
              </w:tabs>
              <w:spacing w:line="360" w:lineRule="auto"/>
              <w:ind w:left="420"/>
              <w:jc w:val="center"/>
              <w:rPr>
                <w:rFonts w:ascii="宋体"/>
                <w:szCs w:val="21"/>
              </w:rPr>
            </w:pPr>
          </w:p>
        </w:tc>
      </w:tr>
      <w:tr w14:paraId="780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3CE3A4F7">
            <w:pPr>
              <w:tabs>
                <w:tab w:val="left" w:pos="720"/>
              </w:tabs>
              <w:spacing w:line="360" w:lineRule="auto"/>
              <w:jc w:val="center"/>
              <w:rPr>
                <w:rFonts w:ascii="宋体"/>
                <w:szCs w:val="21"/>
              </w:rPr>
            </w:pPr>
            <w:r>
              <w:rPr>
                <w:rFonts w:ascii="宋体"/>
                <w:szCs w:val="21"/>
              </w:rPr>
              <w:t>1</w:t>
            </w:r>
            <w:r>
              <w:rPr>
                <w:rFonts w:hint="eastAsia" w:ascii="宋体"/>
                <w:szCs w:val="21"/>
              </w:rPr>
              <w:t>8</w:t>
            </w:r>
          </w:p>
        </w:tc>
        <w:tc>
          <w:tcPr>
            <w:tcW w:w="3147" w:type="dxa"/>
            <w:vAlign w:val="center"/>
          </w:tcPr>
          <w:p w14:paraId="043C5999">
            <w:pPr>
              <w:spacing w:line="360" w:lineRule="auto"/>
              <w:jc w:val="center"/>
              <w:rPr>
                <w:sz w:val="22"/>
                <w:szCs w:val="22"/>
              </w:rPr>
            </w:pPr>
          </w:p>
        </w:tc>
        <w:tc>
          <w:tcPr>
            <w:tcW w:w="1556" w:type="dxa"/>
            <w:vAlign w:val="center"/>
          </w:tcPr>
          <w:p w14:paraId="1A45E919">
            <w:pPr>
              <w:tabs>
                <w:tab w:val="left" w:pos="720"/>
              </w:tabs>
              <w:spacing w:line="360" w:lineRule="auto"/>
              <w:ind w:left="420"/>
              <w:jc w:val="center"/>
              <w:rPr>
                <w:rFonts w:ascii="宋体"/>
                <w:szCs w:val="21"/>
              </w:rPr>
            </w:pPr>
          </w:p>
        </w:tc>
        <w:tc>
          <w:tcPr>
            <w:tcW w:w="2366" w:type="dxa"/>
            <w:vAlign w:val="center"/>
          </w:tcPr>
          <w:p w14:paraId="070C2580">
            <w:pPr>
              <w:tabs>
                <w:tab w:val="left" w:pos="720"/>
              </w:tabs>
              <w:spacing w:line="360" w:lineRule="auto"/>
              <w:ind w:left="420"/>
              <w:jc w:val="center"/>
              <w:rPr>
                <w:rFonts w:ascii="宋体"/>
                <w:szCs w:val="21"/>
              </w:rPr>
            </w:pPr>
          </w:p>
        </w:tc>
      </w:tr>
      <w:tr w14:paraId="50D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9918ED0">
            <w:pPr>
              <w:tabs>
                <w:tab w:val="left" w:pos="720"/>
              </w:tabs>
              <w:spacing w:line="360" w:lineRule="auto"/>
              <w:jc w:val="center"/>
              <w:rPr>
                <w:rFonts w:ascii="宋体"/>
                <w:szCs w:val="21"/>
              </w:rPr>
            </w:pPr>
            <w:r>
              <w:rPr>
                <w:rFonts w:hint="eastAsia" w:ascii="宋体"/>
                <w:szCs w:val="21"/>
              </w:rPr>
              <w:t>19</w:t>
            </w:r>
          </w:p>
        </w:tc>
        <w:tc>
          <w:tcPr>
            <w:tcW w:w="3147" w:type="dxa"/>
            <w:vAlign w:val="center"/>
          </w:tcPr>
          <w:p w14:paraId="7020AF2E">
            <w:pPr>
              <w:spacing w:line="360" w:lineRule="auto"/>
              <w:jc w:val="center"/>
              <w:rPr>
                <w:sz w:val="22"/>
                <w:szCs w:val="22"/>
              </w:rPr>
            </w:pPr>
          </w:p>
        </w:tc>
        <w:tc>
          <w:tcPr>
            <w:tcW w:w="1556" w:type="dxa"/>
            <w:vAlign w:val="center"/>
          </w:tcPr>
          <w:p w14:paraId="30ED6DF3">
            <w:pPr>
              <w:tabs>
                <w:tab w:val="left" w:pos="720"/>
              </w:tabs>
              <w:spacing w:line="360" w:lineRule="auto"/>
              <w:ind w:left="420"/>
              <w:jc w:val="center"/>
              <w:rPr>
                <w:rFonts w:ascii="宋体"/>
                <w:szCs w:val="21"/>
              </w:rPr>
            </w:pPr>
          </w:p>
        </w:tc>
        <w:tc>
          <w:tcPr>
            <w:tcW w:w="2366" w:type="dxa"/>
            <w:vAlign w:val="center"/>
          </w:tcPr>
          <w:p w14:paraId="1F9FCF08">
            <w:pPr>
              <w:tabs>
                <w:tab w:val="left" w:pos="720"/>
              </w:tabs>
              <w:spacing w:line="360" w:lineRule="auto"/>
              <w:ind w:left="420"/>
              <w:jc w:val="center"/>
              <w:rPr>
                <w:rFonts w:ascii="宋体"/>
                <w:szCs w:val="21"/>
              </w:rPr>
            </w:pPr>
          </w:p>
        </w:tc>
      </w:tr>
      <w:tr w14:paraId="0B70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32" w:type="dxa"/>
            <w:vAlign w:val="center"/>
          </w:tcPr>
          <w:p w14:paraId="44448BFC">
            <w:pPr>
              <w:tabs>
                <w:tab w:val="left" w:pos="720"/>
              </w:tabs>
              <w:spacing w:line="360" w:lineRule="auto"/>
              <w:jc w:val="center"/>
              <w:rPr>
                <w:rFonts w:ascii="宋体"/>
                <w:szCs w:val="21"/>
              </w:rPr>
            </w:pPr>
            <w:r>
              <w:rPr>
                <w:rFonts w:hint="eastAsia" w:ascii="宋体"/>
                <w:szCs w:val="21"/>
              </w:rPr>
              <w:t>20</w:t>
            </w:r>
          </w:p>
        </w:tc>
        <w:tc>
          <w:tcPr>
            <w:tcW w:w="3147" w:type="dxa"/>
            <w:vAlign w:val="center"/>
          </w:tcPr>
          <w:p w14:paraId="14BB1712">
            <w:pPr>
              <w:spacing w:line="360" w:lineRule="auto"/>
              <w:jc w:val="center"/>
            </w:pPr>
          </w:p>
        </w:tc>
        <w:tc>
          <w:tcPr>
            <w:tcW w:w="1556" w:type="dxa"/>
            <w:vAlign w:val="center"/>
          </w:tcPr>
          <w:p w14:paraId="6870BCD1">
            <w:pPr>
              <w:tabs>
                <w:tab w:val="left" w:pos="720"/>
              </w:tabs>
              <w:spacing w:line="360" w:lineRule="auto"/>
              <w:jc w:val="center"/>
              <w:rPr>
                <w:rFonts w:ascii="宋体"/>
                <w:szCs w:val="21"/>
              </w:rPr>
            </w:pPr>
          </w:p>
        </w:tc>
        <w:tc>
          <w:tcPr>
            <w:tcW w:w="2366" w:type="dxa"/>
            <w:vAlign w:val="center"/>
          </w:tcPr>
          <w:p w14:paraId="48088F5E">
            <w:pPr>
              <w:tabs>
                <w:tab w:val="left" w:pos="720"/>
              </w:tabs>
              <w:spacing w:line="360" w:lineRule="auto"/>
              <w:jc w:val="center"/>
              <w:rPr>
                <w:rFonts w:ascii="宋体"/>
                <w:szCs w:val="21"/>
              </w:rPr>
            </w:pPr>
          </w:p>
        </w:tc>
      </w:tr>
    </w:tbl>
    <w:p w14:paraId="04C69554">
      <w:pPr>
        <w:rPr>
          <w:rFonts w:hint="eastAsia" w:ascii="宋体" w:hAnsi="宋体"/>
          <w:sz w:val="24"/>
        </w:rPr>
      </w:pPr>
      <w:r>
        <w:rPr>
          <w:rFonts w:hint="eastAsia" w:ascii="宋体" w:hAnsi="宋体"/>
          <w:sz w:val="24"/>
        </w:rPr>
        <w:br w:type="page" w:clear="all"/>
      </w:r>
      <w:bookmarkEnd w:id="746"/>
      <w:bookmarkEnd w:id="747"/>
      <w:bookmarkEnd w:id="748"/>
      <w:bookmarkEnd w:id="751"/>
      <w:bookmarkEnd w:id="752"/>
    </w:p>
    <w:p w14:paraId="515B624D">
      <w:pPr>
        <w:pStyle w:val="4"/>
        <w:jc w:val="center"/>
        <w:rPr>
          <w:rFonts w:hint="eastAsia" w:asciiTheme="minorEastAsia" w:hAnsiTheme="minorEastAsia" w:eastAsiaTheme="minorEastAsia" w:cstheme="minorEastAsia"/>
          <w:b/>
          <w:bCs/>
          <w:color w:val="auto"/>
        </w:rPr>
      </w:pPr>
      <w:bookmarkStart w:id="753" w:name="_Toc43036666"/>
      <w:r>
        <w:rPr>
          <w:rFonts w:hint="eastAsia" w:asciiTheme="minorEastAsia" w:hAnsiTheme="minorEastAsia" w:eastAsiaTheme="minorEastAsia" w:cstheme="minorEastAsia"/>
          <w:b/>
          <w:bCs/>
          <w:color w:val="auto"/>
        </w:rPr>
        <w:t>一、</w:t>
      </w:r>
      <w:bookmarkEnd w:id="753"/>
      <w:r>
        <w:rPr>
          <w:rFonts w:hint="eastAsia" w:asciiTheme="minorEastAsia" w:hAnsiTheme="minorEastAsia" w:eastAsiaTheme="minorEastAsia" w:cstheme="minorEastAsia"/>
          <w:b/>
          <w:bCs/>
          <w:color w:val="auto"/>
        </w:rPr>
        <w:t>竞争性谈判申请函</w:t>
      </w:r>
    </w:p>
    <w:p w14:paraId="39D6F2F3">
      <w:pPr>
        <w:spacing w:line="360" w:lineRule="auto"/>
        <w:rPr>
          <w:sz w:val="24"/>
          <w:u w:val="single"/>
        </w:rPr>
      </w:pPr>
      <w:r>
        <w:rPr>
          <w:rFonts w:hint="eastAsia"/>
          <w:sz w:val="24"/>
        </w:rPr>
        <w:t>致：</w:t>
      </w:r>
      <w:r>
        <w:rPr>
          <w:rFonts w:hint="eastAsia"/>
          <w:sz w:val="24"/>
          <w:u w:val="single"/>
        </w:rPr>
        <w:t xml:space="preserve">   （采购人）   </w:t>
      </w:r>
    </w:p>
    <w:p w14:paraId="063318FE">
      <w:pPr>
        <w:spacing w:line="360" w:lineRule="auto"/>
        <w:ind w:firstLine="480"/>
        <w:rPr>
          <w:sz w:val="24"/>
        </w:rPr>
      </w:pPr>
      <w:r>
        <w:rPr>
          <w:rFonts w:hint="eastAsia"/>
          <w:sz w:val="24"/>
        </w:rPr>
        <w:t>根据贵方关于</w:t>
      </w:r>
      <w:r>
        <w:rPr>
          <w:rFonts w:hint="eastAsia"/>
          <w:sz w:val="24"/>
          <w:u w:val="single"/>
        </w:rPr>
        <w:t>（项目名称）</w:t>
      </w:r>
      <w:r>
        <w:rPr>
          <w:rFonts w:hint="eastAsia"/>
          <w:sz w:val="24"/>
        </w:rPr>
        <w:t>的竞争性谈判邀请，正式授权下述签字人</w:t>
      </w:r>
      <w:r>
        <w:rPr>
          <w:rFonts w:hint="eastAsia"/>
          <w:sz w:val="24"/>
          <w:u w:val="single"/>
        </w:rPr>
        <w:t>（姓名和职务）</w:t>
      </w:r>
      <w:r>
        <w:rPr>
          <w:rFonts w:hint="eastAsia"/>
          <w:sz w:val="24"/>
        </w:rPr>
        <w:t>代表供应商</w:t>
      </w:r>
      <w:r>
        <w:rPr>
          <w:rFonts w:hint="eastAsia"/>
          <w:sz w:val="24"/>
          <w:u w:val="single"/>
        </w:rPr>
        <w:t>（申请人的名称）</w:t>
      </w:r>
      <w:r>
        <w:rPr>
          <w:rFonts w:hint="eastAsia"/>
          <w:sz w:val="24"/>
        </w:rPr>
        <w:t>，提交下述纸质响应文件正本壹份，副本肆份，电子响应文件壹份。内容包括：</w:t>
      </w:r>
    </w:p>
    <w:p w14:paraId="71526B0A">
      <w:pPr>
        <w:spacing w:line="360" w:lineRule="auto"/>
        <w:ind w:firstLine="480"/>
        <w:rPr>
          <w:rFonts w:hint="eastAsia" w:ascii="宋体" w:hAnsi="宋体" w:cs="宋体"/>
          <w:sz w:val="24"/>
        </w:rPr>
      </w:pPr>
      <w:r>
        <w:rPr>
          <w:rFonts w:hint="eastAsia" w:ascii="宋体" w:hAnsi="宋体" w:cs="宋体"/>
          <w:sz w:val="24"/>
        </w:rPr>
        <w:t>1、竞争性谈判申请函及其附录；</w:t>
      </w:r>
    </w:p>
    <w:p w14:paraId="01E14344">
      <w:pPr>
        <w:spacing w:line="360" w:lineRule="auto"/>
        <w:ind w:firstLine="480"/>
        <w:rPr>
          <w:rFonts w:hint="eastAsia" w:ascii="宋体" w:hAnsi="宋体" w:cs="宋体"/>
          <w:sz w:val="24"/>
        </w:rPr>
      </w:pPr>
      <w:r>
        <w:rPr>
          <w:rFonts w:hint="eastAsia" w:ascii="宋体" w:hAnsi="宋体" w:cs="宋体"/>
          <w:sz w:val="24"/>
        </w:rPr>
        <w:t>2、法定代表人身份证明书；</w:t>
      </w:r>
    </w:p>
    <w:p w14:paraId="39DE3915">
      <w:pPr>
        <w:spacing w:line="360" w:lineRule="auto"/>
        <w:ind w:firstLine="480"/>
        <w:rPr>
          <w:rFonts w:hint="eastAsia" w:ascii="宋体" w:hAnsi="宋体" w:cs="宋体"/>
          <w:sz w:val="24"/>
        </w:rPr>
      </w:pPr>
      <w:r>
        <w:rPr>
          <w:rFonts w:hint="eastAsia" w:ascii="宋体" w:hAnsi="宋体" w:cs="宋体"/>
          <w:sz w:val="24"/>
        </w:rPr>
        <w:t>3、法人授权委托书；</w:t>
      </w:r>
    </w:p>
    <w:p w14:paraId="1D40A902">
      <w:pPr>
        <w:spacing w:line="360" w:lineRule="auto"/>
        <w:ind w:firstLine="480"/>
        <w:rPr>
          <w:rFonts w:hint="eastAsia" w:ascii="宋体" w:hAnsi="宋体" w:cs="宋体"/>
          <w:sz w:val="24"/>
        </w:rPr>
      </w:pPr>
      <w:r>
        <w:rPr>
          <w:rFonts w:hint="eastAsia" w:ascii="宋体" w:hAnsi="宋体" w:cs="宋体"/>
          <w:sz w:val="24"/>
        </w:rPr>
        <w:t>4、资格及资信证明文件；</w:t>
      </w:r>
    </w:p>
    <w:p w14:paraId="54A07C0E">
      <w:pPr>
        <w:spacing w:line="360" w:lineRule="auto"/>
        <w:ind w:firstLine="480"/>
        <w:rPr>
          <w:rFonts w:hint="eastAsia" w:ascii="宋体" w:hAnsi="宋体" w:cs="宋体"/>
          <w:sz w:val="24"/>
        </w:rPr>
      </w:pPr>
      <w:r>
        <w:rPr>
          <w:rFonts w:hint="eastAsia" w:ascii="宋体" w:hAnsi="宋体" w:cs="宋体"/>
          <w:sz w:val="24"/>
        </w:rPr>
        <w:t>5、已标价的工程量清单；</w:t>
      </w:r>
    </w:p>
    <w:p w14:paraId="2BC4061F">
      <w:pPr>
        <w:spacing w:line="360" w:lineRule="auto"/>
        <w:ind w:firstLine="480"/>
        <w:rPr>
          <w:rFonts w:hint="eastAsia" w:ascii="宋体" w:hAnsi="宋体" w:cs="宋体"/>
          <w:sz w:val="24"/>
        </w:rPr>
      </w:pPr>
      <w:r>
        <w:rPr>
          <w:rFonts w:hint="eastAsia" w:ascii="宋体" w:hAnsi="宋体" w:cs="宋体"/>
          <w:sz w:val="24"/>
        </w:rPr>
        <w:t>6、其他材料。</w:t>
      </w:r>
    </w:p>
    <w:p w14:paraId="1A2B8F5B">
      <w:pPr>
        <w:spacing w:line="360" w:lineRule="auto"/>
        <w:ind w:firstLine="480"/>
        <w:rPr>
          <w:sz w:val="24"/>
        </w:rPr>
      </w:pPr>
      <w:r>
        <w:rPr>
          <w:rFonts w:hint="eastAsia"/>
          <w:sz w:val="24"/>
        </w:rPr>
        <w:t>据此函，签字人兹宣布同意如下：</w:t>
      </w:r>
    </w:p>
    <w:p w14:paraId="14276376">
      <w:pPr>
        <w:spacing w:line="360" w:lineRule="auto"/>
        <w:ind w:firstLine="480"/>
        <w:rPr>
          <w:sz w:val="24"/>
        </w:rPr>
      </w:pPr>
      <w:r>
        <w:rPr>
          <w:rFonts w:hint="eastAsia"/>
          <w:sz w:val="24"/>
        </w:rPr>
        <w:t>1、按谈判文件规定提供服务的首轮报价见竞争性谈判申请函附录。</w:t>
      </w:r>
    </w:p>
    <w:p w14:paraId="461F71B2">
      <w:pPr>
        <w:spacing w:line="360" w:lineRule="auto"/>
        <w:ind w:firstLine="480"/>
        <w:rPr>
          <w:sz w:val="24"/>
        </w:rPr>
      </w:pPr>
      <w:r>
        <w:rPr>
          <w:rFonts w:hint="eastAsia"/>
          <w:sz w:val="24"/>
        </w:rPr>
        <w:t>2、我们已详细审核全部谈判文件及其有效补充文件，我们知道必须放弃提出含糊不清或误解的问题的权利。提交响应文件后，不对谈判文件本身提出质疑。否则，属于不诚信和故意扰乱采购活动行为，我们将无条件接受处罚。</w:t>
      </w:r>
    </w:p>
    <w:p w14:paraId="3F598C9C">
      <w:pPr>
        <w:spacing w:line="360" w:lineRule="auto"/>
        <w:ind w:firstLine="480"/>
        <w:rPr>
          <w:sz w:val="24"/>
        </w:rPr>
      </w:pPr>
      <w:r>
        <w:rPr>
          <w:rFonts w:hint="eastAsia"/>
          <w:sz w:val="24"/>
        </w:rPr>
        <w:t>3、我们同意从规定的谈判日期起遵循本谈判文件，并在规定的谈判有效期期满之前均具有约束力。</w:t>
      </w:r>
    </w:p>
    <w:p w14:paraId="6974196E">
      <w:pPr>
        <w:spacing w:line="360" w:lineRule="auto"/>
        <w:ind w:firstLine="480"/>
        <w:rPr>
          <w:sz w:val="24"/>
        </w:rPr>
      </w:pPr>
      <w:r>
        <w:rPr>
          <w:rFonts w:hint="eastAsia"/>
          <w:sz w:val="24"/>
        </w:rPr>
        <w:t>4、如果在谈判后规定的谈判有效期内撤回响应文件，愿意接受采购人及行政主管部门的处罚。</w:t>
      </w:r>
    </w:p>
    <w:p w14:paraId="26008C38">
      <w:pPr>
        <w:spacing w:line="360" w:lineRule="auto"/>
        <w:ind w:firstLine="480"/>
        <w:rPr>
          <w:sz w:val="24"/>
        </w:rPr>
      </w:pPr>
      <w:r>
        <w:rPr>
          <w:rFonts w:hint="eastAsia"/>
          <w:sz w:val="24"/>
        </w:rPr>
        <w:t>5、同意向贵方提供贵方可能要求的与谈判有关的任何证据或资料。</w:t>
      </w:r>
    </w:p>
    <w:p w14:paraId="7E101276">
      <w:pPr>
        <w:spacing w:line="360" w:lineRule="auto"/>
        <w:ind w:firstLine="480"/>
        <w:rPr>
          <w:sz w:val="24"/>
        </w:rPr>
      </w:pPr>
      <w:r>
        <w:rPr>
          <w:rFonts w:hint="eastAsia"/>
          <w:sz w:val="24"/>
        </w:rPr>
        <w:t>6、一旦我方成交，我方将根据谈判文件的规定，严格履行合同，并保证于承诺的时间完成服务。</w:t>
      </w:r>
    </w:p>
    <w:p w14:paraId="49A13C11">
      <w:pPr>
        <w:spacing w:line="360" w:lineRule="auto"/>
        <w:ind w:firstLine="480"/>
        <w:rPr>
          <w:sz w:val="24"/>
        </w:rPr>
      </w:pPr>
      <w:r>
        <w:rPr>
          <w:rFonts w:hint="eastAsia"/>
          <w:sz w:val="24"/>
        </w:rPr>
        <w:t>7、我方保证在谈判过程中无下列行为发生：</w:t>
      </w:r>
    </w:p>
    <w:p w14:paraId="498A341D">
      <w:pPr>
        <w:spacing w:line="360" w:lineRule="auto"/>
        <w:ind w:firstLine="480"/>
        <w:rPr>
          <w:sz w:val="24"/>
        </w:rPr>
      </w:pPr>
      <w:r>
        <w:rPr>
          <w:rFonts w:hint="eastAsia"/>
          <w:sz w:val="24"/>
        </w:rPr>
        <w:t>（1）提供虚假材料谋取中标、成交的；</w:t>
      </w:r>
    </w:p>
    <w:p w14:paraId="55FE1181">
      <w:pPr>
        <w:spacing w:line="360" w:lineRule="auto"/>
        <w:ind w:firstLine="480"/>
        <w:rPr>
          <w:sz w:val="24"/>
        </w:rPr>
      </w:pPr>
      <w:r>
        <w:rPr>
          <w:rFonts w:hint="eastAsia"/>
          <w:sz w:val="24"/>
        </w:rPr>
        <w:t>（2）采取不正当手段诋毁、排挤其他供应商的；</w:t>
      </w:r>
    </w:p>
    <w:p w14:paraId="0EF25AF5">
      <w:pPr>
        <w:spacing w:line="360" w:lineRule="auto"/>
        <w:ind w:firstLine="480"/>
        <w:rPr>
          <w:sz w:val="24"/>
        </w:rPr>
      </w:pPr>
      <w:r>
        <w:rPr>
          <w:rFonts w:hint="eastAsia"/>
          <w:sz w:val="24"/>
        </w:rPr>
        <w:t>（3）与采购人、其它谈判申请人恶意串通的；</w:t>
      </w:r>
    </w:p>
    <w:p w14:paraId="02981B5C">
      <w:pPr>
        <w:spacing w:line="360" w:lineRule="auto"/>
        <w:ind w:firstLine="480"/>
        <w:rPr>
          <w:sz w:val="24"/>
        </w:rPr>
      </w:pPr>
      <w:r>
        <w:rPr>
          <w:rFonts w:hint="eastAsia"/>
          <w:sz w:val="24"/>
        </w:rPr>
        <w:t>（4）向采购人行贿或者提供其他不正当利益的；</w:t>
      </w:r>
    </w:p>
    <w:p w14:paraId="205E4E4C">
      <w:pPr>
        <w:spacing w:line="360" w:lineRule="auto"/>
        <w:ind w:firstLine="480"/>
        <w:rPr>
          <w:sz w:val="24"/>
        </w:rPr>
      </w:pPr>
      <w:r>
        <w:rPr>
          <w:rFonts w:hint="eastAsia"/>
          <w:sz w:val="24"/>
        </w:rPr>
        <w:t>（5）在谈判过程中与采购人进行协商响应的；</w:t>
      </w:r>
    </w:p>
    <w:p w14:paraId="5CEE8417">
      <w:pPr>
        <w:spacing w:line="360" w:lineRule="auto"/>
        <w:ind w:firstLine="480"/>
        <w:rPr>
          <w:sz w:val="24"/>
        </w:rPr>
      </w:pPr>
      <w:r>
        <w:rPr>
          <w:rFonts w:hint="eastAsia"/>
          <w:sz w:val="24"/>
        </w:rPr>
        <w:t>（6）拒绝有关部门监督检查或提供虚假情况的。</w:t>
      </w:r>
    </w:p>
    <w:p w14:paraId="454E45F7">
      <w:pPr>
        <w:spacing w:line="360" w:lineRule="auto"/>
        <w:ind w:firstLine="480"/>
        <w:rPr>
          <w:sz w:val="24"/>
        </w:rPr>
      </w:pPr>
      <w:r>
        <w:rPr>
          <w:rFonts w:hint="eastAsia"/>
          <w:sz w:val="24"/>
        </w:rPr>
        <w:t>8、与本谈判有关的一切正式往来通讯请寄：</w:t>
      </w:r>
    </w:p>
    <w:p w14:paraId="66DEE5E0">
      <w:pPr>
        <w:spacing w:line="360" w:lineRule="auto"/>
        <w:rPr>
          <w:sz w:val="24"/>
        </w:rPr>
      </w:pPr>
    </w:p>
    <w:p w14:paraId="1025B7B7">
      <w:pPr>
        <w:spacing w:line="480" w:lineRule="auto"/>
        <w:rPr>
          <w:sz w:val="24"/>
        </w:rPr>
      </w:pPr>
      <w:r>
        <w:rPr>
          <w:rFonts w:hint="eastAsia"/>
          <w:sz w:val="24"/>
        </w:rPr>
        <w:t>竞争性谈判申请人：_______________________________________（公章）</w:t>
      </w:r>
    </w:p>
    <w:p w14:paraId="1205AC31">
      <w:pPr>
        <w:spacing w:line="480" w:lineRule="auto"/>
        <w:rPr>
          <w:sz w:val="24"/>
        </w:rPr>
      </w:pPr>
      <w:r>
        <w:rPr>
          <w:rFonts w:hint="eastAsia"/>
          <w:sz w:val="24"/>
        </w:rPr>
        <w:t>法定代表人：____________________________ （签字或盖章）</w:t>
      </w:r>
    </w:p>
    <w:p w14:paraId="7EAB9CED">
      <w:pPr>
        <w:spacing w:line="480" w:lineRule="auto"/>
        <w:rPr>
          <w:sz w:val="24"/>
        </w:rPr>
      </w:pPr>
      <w:r>
        <w:rPr>
          <w:rFonts w:hint="eastAsia"/>
          <w:sz w:val="24"/>
        </w:rPr>
        <w:t>单位地址：____________________________________________</w:t>
      </w:r>
    </w:p>
    <w:p w14:paraId="18B03B18">
      <w:pPr>
        <w:spacing w:line="480" w:lineRule="auto"/>
        <w:rPr>
          <w:sz w:val="24"/>
        </w:rPr>
      </w:pPr>
      <w:r>
        <w:rPr>
          <w:rFonts w:hint="eastAsia"/>
          <w:sz w:val="24"/>
        </w:rPr>
        <w:t>联系电话：</w:t>
      </w:r>
      <w:r>
        <w:rPr>
          <w:rFonts w:hint="eastAsia"/>
          <w:sz w:val="24"/>
          <w:u w:val="single"/>
        </w:rPr>
        <w:t xml:space="preserve">                   </w:t>
      </w:r>
      <w:r>
        <w:rPr>
          <w:rFonts w:hint="eastAsia"/>
          <w:sz w:val="24"/>
        </w:rPr>
        <w:t xml:space="preserve">    </w:t>
      </w:r>
    </w:p>
    <w:p w14:paraId="3BD7B919">
      <w:pPr>
        <w:spacing w:line="480" w:lineRule="auto"/>
        <w:rPr>
          <w:sz w:val="24"/>
        </w:rPr>
      </w:pPr>
      <w:r>
        <w:rPr>
          <w:rFonts w:hint="eastAsia"/>
          <w:sz w:val="24"/>
        </w:rPr>
        <w:t>传真：</w:t>
      </w:r>
      <w:r>
        <w:rPr>
          <w:rFonts w:hint="eastAsia"/>
          <w:sz w:val="24"/>
          <w:u w:val="single"/>
        </w:rPr>
        <w:t xml:space="preserve">                       </w:t>
      </w:r>
    </w:p>
    <w:p w14:paraId="5DE4C275">
      <w:pPr>
        <w:spacing w:line="480" w:lineRule="auto"/>
        <w:rPr>
          <w:sz w:val="24"/>
        </w:rPr>
      </w:pPr>
      <w:r>
        <w:rPr>
          <w:rFonts w:hint="eastAsia"/>
          <w:sz w:val="24"/>
        </w:rPr>
        <w:t>邮政编码：___________________</w:t>
      </w:r>
    </w:p>
    <w:p w14:paraId="2C04DC32">
      <w:pPr>
        <w:spacing w:line="480" w:lineRule="auto"/>
        <w:rPr>
          <w:sz w:val="24"/>
        </w:rPr>
        <w:sectPr>
          <w:pgSz w:w="11906" w:h="16838"/>
          <w:pgMar w:top="1440" w:right="1800" w:bottom="1440" w:left="1800" w:header="851" w:footer="992" w:gutter="0"/>
          <w:cols w:space="720" w:num="1"/>
          <w:docGrid w:linePitch="360" w:charSpace="0"/>
        </w:sect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51802DE6">
      <w:pPr>
        <w:pStyle w:val="3"/>
        <w:numPr>
          <w:ilvl w:val="0"/>
          <w:numId w:val="10"/>
        </w:numPr>
        <w:jc w:val="center"/>
        <w:rPr>
          <w:rFonts w:hint="eastAsia" w:asciiTheme="minorEastAsia" w:hAnsiTheme="minorEastAsia" w:eastAsiaTheme="minorEastAsia" w:cstheme="minorEastAsia"/>
          <w:color w:val="auto"/>
        </w:rPr>
      </w:pPr>
      <w:bookmarkStart w:id="754" w:name="_Toc43036668"/>
      <w:r>
        <w:rPr>
          <w:rFonts w:hint="eastAsia" w:asciiTheme="minorEastAsia" w:hAnsiTheme="minorEastAsia" w:eastAsiaTheme="minorEastAsia" w:cstheme="minorEastAsia"/>
          <w:color w:val="auto"/>
        </w:rPr>
        <w:t>报价一览表</w:t>
      </w:r>
    </w:p>
    <w:p w14:paraId="3D6DB230"/>
    <w:p w14:paraId="3459A8EA">
      <w:pPr>
        <w:pStyle w:val="4"/>
        <w:keepNext w:val="0"/>
        <w:keepLines w:val="0"/>
        <w:spacing w:before="156" w:after="156" w:line="360" w:lineRule="auto"/>
        <w:jc w:val="center"/>
        <w:rPr>
          <w:rFonts w:hint="eastAsia" w:asciiTheme="minorEastAsia" w:hAnsiTheme="minorEastAsia" w:eastAsiaTheme="minorEastAsia" w:cstheme="minorEastAsia"/>
          <w:color w:val="auto"/>
          <w:szCs w:val="28"/>
        </w:rPr>
      </w:pPr>
      <w:r>
        <w:rPr>
          <w:rFonts w:hint="eastAsia" w:asciiTheme="minorEastAsia" w:hAnsiTheme="minorEastAsia" w:eastAsiaTheme="minorEastAsia" w:cstheme="minorEastAsia"/>
          <w:color w:val="auto"/>
          <w:szCs w:val="28"/>
        </w:rPr>
        <w:t>首轮报价表</w:t>
      </w:r>
    </w:p>
    <w:tbl>
      <w:tblPr>
        <w:tblStyle w:val="45"/>
        <w:tblW w:w="8760" w:type="dxa"/>
        <w:tblInd w:w="0" w:type="dxa"/>
        <w:tblLayout w:type="fixed"/>
        <w:tblCellMar>
          <w:top w:w="0" w:type="dxa"/>
          <w:left w:w="108" w:type="dxa"/>
          <w:bottom w:w="0" w:type="dxa"/>
          <w:right w:w="108" w:type="dxa"/>
        </w:tblCellMar>
      </w:tblPr>
      <w:tblGrid>
        <w:gridCol w:w="2711"/>
        <w:gridCol w:w="6049"/>
      </w:tblGrid>
      <w:tr w14:paraId="3AB00CA9">
        <w:tblPrEx>
          <w:tblCellMar>
            <w:top w:w="0" w:type="dxa"/>
            <w:left w:w="108" w:type="dxa"/>
            <w:bottom w:w="0" w:type="dxa"/>
            <w:right w:w="108" w:type="dxa"/>
          </w:tblCellMar>
        </w:tblPrEx>
        <w:trPr>
          <w:trHeight w:val="456" w:hRule="atLeast"/>
        </w:trPr>
        <w:tc>
          <w:tcPr>
            <w:tcW w:w="8760" w:type="dxa"/>
            <w:gridSpan w:val="2"/>
            <w:tcBorders>
              <w:top w:val="nil"/>
              <w:left w:val="nil"/>
              <w:bottom w:val="single" w:color="auto" w:sz="4" w:space="0"/>
              <w:right w:val="nil"/>
            </w:tcBorders>
            <w:vAlign w:val="center"/>
          </w:tcPr>
          <w:p w14:paraId="6EB1EBCD">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4"/>
              </w:rPr>
              <w:t>供应商</w:t>
            </w:r>
            <w:r>
              <w:rPr>
                <w:rFonts w:hint="eastAsia" w:asciiTheme="minorEastAsia" w:hAnsiTheme="minorEastAsia" w:eastAsiaTheme="minorEastAsia" w:cstheme="minorEastAsia"/>
                <w:b/>
                <w:bCs/>
                <w:sz w:val="24"/>
              </w:rPr>
              <w:t>名称（</w:t>
            </w:r>
            <w:r>
              <w:rPr>
                <w:rFonts w:hint="eastAsia" w:asciiTheme="minorEastAsia" w:hAnsiTheme="minorEastAsia" w:eastAsiaTheme="minorEastAsia" w:cstheme="minorEastAsia"/>
                <w:b/>
                <w:sz w:val="24"/>
              </w:rPr>
              <w:t>加盖公章</w:t>
            </w:r>
            <w:r>
              <w:rPr>
                <w:rFonts w:hint="eastAsia" w:asciiTheme="minorEastAsia" w:hAnsiTheme="minorEastAsia" w:eastAsiaTheme="minorEastAsia" w:cstheme="minorEastAsia"/>
                <w:b/>
                <w:bCs/>
                <w:sz w:val="24"/>
              </w:rPr>
              <w:t>）：</w:t>
            </w:r>
          </w:p>
        </w:tc>
      </w:tr>
      <w:tr w14:paraId="48E1CC2C">
        <w:tblPrEx>
          <w:tblCellMar>
            <w:top w:w="0" w:type="dxa"/>
            <w:left w:w="108" w:type="dxa"/>
            <w:bottom w:w="0" w:type="dxa"/>
            <w:right w:w="108" w:type="dxa"/>
          </w:tblCellMar>
        </w:tblPrEx>
        <w:trPr>
          <w:trHeight w:val="622" w:hRule="atLeast"/>
        </w:trPr>
        <w:tc>
          <w:tcPr>
            <w:tcW w:w="2711" w:type="dxa"/>
            <w:tcBorders>
              <w:top w:val="single" w:color="auto" w:sz="6" w:space="0"/>
              <w:left w:val="single" w:color="auto" w:sz="4" w:space="0"/>
              <w:bottom w:val="single" w:color="auto" w:sz="6" w:space="0"/>
              <w:right w:val="single" w:color="auto" w:sz="6" w:space="0"/>
            </w:tcBorders>
            <w:vAlign w:val="center"/>
          </w:tcPr>
          <w:p w14:paraId="0EE28C89">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049" w:type="dxa"/>
            <w:tcBorders>
              <w:top w:val="single" w:color="auto" w:sz="6" w:space="0"/>
              <w:left w:val="single" w:color="auto" w:sz="6" w:space="0"/>
              <w:bottom w:val="single" w:color="auto" w:sz="6" w:space="0"/>
              <w:right w:val="single" w:color="auto" w:sz="4" w:space="0"/>
            </w:tcBorders>
            <w:vAlign w:val="center"/>
          </w:tcPr>
          <w:p w14:paraId="24360EC8">
            <w:pPr>
              <w:pStyle w:val="17"/>
              <w:rPr>
                <w:rFonts w:hint="eastAsia" w:asciiTheme="minorEastAsia" w:hAnsiTheme="minorEastAsia" w:eastAsiaTheme="minorEastAsia" w:cstheme="minorEastAsia"/>
                <w:sz w:val="21"/>
                <w:szCs w:val="21"/>
              </w:rPr>
            </w:pPr>
          </w:p>
        </w:tc>
      </w:tr>
      <w:tr w14:paraId="7330360C">
        <w:tblPrEx>
          <w:tblCellMar>
            <w:top w:w="0" w:type="dxa"/>
            <w:left w:w="108" w:type="dxa"/>
            <w:bottom w:w="0" w:type="dxa"/>
            <w:right w:w="108" w:type="dxa"/>
          </w:tblCellMar>
        </w:tblPrEx>
        <w:trPr>
          <w:trHeight w:val="3475" w:hRule="atLeast"/>
        </w:trPr>
        <w:tc>
          <w:tcPr>
            <w:tcW w:w="2711" w:type="dxa"/>
            <w:tcBorders>
              <w:top w:val="single" w:color="auto" w:sz="6" w:space="0"/>
              <w:left w:val="single" w:color="auto" w:sz="4" w:space="0"/>
              <w:right w:val="single" w:color="auto" w:sz="6" w:space="0"/>
            </w:tcBorders>
            <w:vAlign w:val="center"/>
          </w:tcPr>
          <w:p w14:paraId="196292B2">
            <w:pPr>
              <w:pStyle w:val="17"/>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含税总报价</w:t>
            </w:r>
          </w:p>
        </w:tc>
        <w:tc>
          <w:tcPr>
            <w:tcW w:w="6049" w:type="dxa"/>
            <w:tcBorders>
              <w:top w:val="single" w:color="auto" w:sz="6" w:space="0"/>
              <w:left w:val="single" w:color="auto" w:sz="6" w:space="0"/>
              <w:bottom w:val="single" w:color="auto" w:sz="6" w:space="0"/>
              <w:right w:val="single" w:color="auto" w:sz="4" w:space="0"/>
            </w:tcBorders>
            <w:vAlign w:val="center"/>
          </w:tcPr>
          <w:p w14:paraId="75A280EA">
            <w:pPr>
              <w:pStyle w:val="17"/>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金额（大写）：人民币     元整</w:t>
            </w:r>
          </w:p>
          <w:p w14:paraId="7638916F">
            <w:pPr>
              <w:widowControl/>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￥：元</w:t>
            </w:r>
          </w:p>
        </w:tc>
      </w:tr>
      <w:tr w14:paraId="4174060F">
        <w:tblPrEx>
          <w:tblCellMar>
            <w:top w:w="0" w:type="dxa"/>
            <w:left w:w="108" w:type="dxa"/>
            <w:bottom w:w="0" w:type="dxa"/>
            <w:right w:w="108" w:type="dxa"/>
          </w:tblCellMar>
        </w:tblPrEx>
        <w:trPr>
          <w:trHeight w:val="522" w:hRule="atLeast"/>
        </w:trPr>
        <w:tc>
          <w:tcPr>
            <w:tcW w:w="2711" w:type="dxa"/>
            <w:tcBorders>
              <w:top w:val="single" w:color="auto" w:sz="6" w:space="0"/>
              <w:left w:val="single" w:color="auto" w:sz="4" w:space="0"/>
              <w:bottom w:val="single" w:color="auto" w:sz="6" w:space="0"/>
              <w:right w:val="single" w:color="auto" w:sz="6" w:space="0"/>
            </w:tcBorders>
            <w:vAlign w:val="center"/>
          </w:tcPr>
          <w:p w14:paraId="1B966BC3">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项目工期</w:t>
            </w:r>
          </w:p>
        </w:tc>
        <w:tc>
          <w:tcPr>
            <w:tcW w:w="6049" w:type="dxa"/>
            <w:tcBorders>
              <w:top w:val="single" w:color="auto" w:sz="6" w:space="0"/>
              <w:left w:val="single" w:color="auto" w:sz="6" w:space="0"/>
              <w:bottom w:val="single" w:color="auto" w:sz="6" w:space="0"/>
              <w:right w:val="single" w:color="auto" w:sz="4" w:space="0"/>
            </w:tcBorders>
            <w:vAlign w:val="center"/>
          </w:tcPr>
          <w:p w14:paraId="74B0E5FD">
            <w:pPr>
              <w:widowControl/>
              <w:ind w:firstLine="52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日历天</w:t>
            </w:r>
          </w:p>
        </w:tc>
      </w:tr>
      <w:tr w14:paraId="455035F8">
        <w:tblPrEx>
          <w:tblCellMar>
            <w:top w:w="0" w:type="dxa"/>
            <w:left w:w="108" w:type="dxa"/>
            <w:bottom w:w="0" w:type="dxa"/>
            <w:right w:w="108" w:type="dxa"/>
          </w:tblCellMar>
        </w:tblPrEx>
        <w:trPr>
          <w:trHeight w:val="536" w:hRule="atLeast"/>
        </w:trPr>
        <w:tc>
          <w:tcPr>
            <w:tcW w:w="2711" w:type="dxa"/>
            <w:tcBorders>
              <w:top w:val="single" w:color="auto" w:sz="6" w:space="0"/>
              <w:left w:val="single" w:color="auto" w:sz="4" w:space="0"/>
              <w:bottom w:val="single" w:color="auto" w:sz="6" w:space="0"/>
              <w:right w:val="single" w:color="auto" w:sz="6" w:space="0"/>
            </w:tcBorders>
            <w:vAlign w:val="center"/>
          </w:tcPr>
          <w:p w14:paraId="1B193DB3">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w:t>
            </w:r>
          </w:p>
        </w:tc>
        <w:tc>
          <w:tcPr>
            <w:tcW w:w="6049" w:type="dxa"/>
            <w:tcBorders>
              <w:top w:val="single" w:color="auto" w:sz="6" w:space="0"/>
              <w:left w:val="single" w:color="auto" w:sz="6" w:space="0"/>
              <w:bottom w:val="single" w:color="auto" w:sz="6" w:space="0"/>
              <w:right w:val="single" w:color="auto" w:sz="4" w:space="0"/>
            </w:tcBorders>
            <w:vAlign w:val="center"/>
          </w:tcPr>
          <w:p w14:paraId="3260C41C">
            <w:pPr>
              <w:widowControl/>
              <w:ind w:firstLine="525"/>
              <w:rPr>
                <w:rFonts w:hint="eastAsia" w:asciiTheme="minorEastAsia" w:hAnsiTheme="minorEastAsia" w:eastAsiaTheme="minorEastAsia" w:cstheme="minorEastAsia"/>
                <w:szCs w:val="21"/>
              </w:rPr>
            </w:pPr>
          </w:p>
        </w:tc>
      </w:tr>
      <w:tr w14:paraId="0F47D87E">
        <w:tblPrEx>
          <w:tblCellMar>
            <w:top w:w="0" w:type="dxa"/>
            <w:left w:w="108" w:type="dxa"/>
            <w:bottom w:w="0" w:type="dxa"/>
            <w:right w:w="108" w:type="dxa"/>
          </w:tblCellMar>
        </w:tblPrEx>
        <w:trPr>
          <w:trHeight w:val="536" w:hRule="atLeast"/>
        </w:trPr>
        <w:tc>
          <w:tcPr>
            <w:tcW w:w="2711" w:type="dxa"/>
            <w:tcBorders>
              <w:top w:val="single" w:color="auto" w:sz="6" w:space="0"/>
              <w:left w:val="single" w:color="auto" w:sz="4" w:space="0"/>
              <w:bottom w:val="single" w:color="auto" w:sz="6" w:space="0"/>
              <w:right w:val="single" w:color="auto" w:sz="6" w:space="0"/>
            </w:tcBorders>
            <w:vAlign w:val="center"/>
          </w:tcPr>
          <w:p w14:paraId="31335618">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6049" w:type="dxa"/>
            <w:tcBorders>
              <w:top w:val="single" w:color="auto" w:sz="6" w:space="0"/>
              <w:left w:val="single" w:color="auto" w:sz="6" w:space="0"/>
              <w:bottom w:val="single" w:color="auto" w:sz="6" w:space="0"/>
              <w:right w:val="single" w:color="auto" w:sz="4" w:space="0"/>
            </w:tcBorders>
            <w:vAlign w:val="center"/>
          </w:tcPr>
          <w:p w14:paraId="197A98E2">
            <w:pPr>
              <w:widowControl/>
              <w:rPr>
                <w:rFonts w:hint="eastAsia" w:asciiTheme="minorEastAsia" w:hAnsiTheme="minorEastAsia" w:eastAsiaTheme="minorEastAsia" w:cstheme="minorEastAsia"/>
                <w:szCs w:val="21"/>
                <w:u w:val="single"/>
              </w:rPr>
            </w:pPr>
          </w:p>
        </w:tc>
      </w:tr>
    </w:tbl>
    <w:p w14:paraId="52490AB3">
      <w:pPr>
        <w:pStyle w:val="17"/>
        <w:spacing w:line="360" w:lineRule="auto"/>
        <w:ind w:left="590" w:hanging="59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 1、“总报价”包括工程所涉及的所有费用（应包括施工设备、劳务、管理、材料、安装、维护、清理、利润、税金及政策性文件规定的各项应有费用等）及各种税费等。首轮报价不得超过最高响应限价。</w:t>
      </w:r>
    </w:p>
    <w:p w14:paraId="572C6651">
      <w:pPr>
        <w:pStyle w:val="17"/>
        <w:spacing w:line="360" w:lineRule="auto"/>
        <w:ind w:left="588"/>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2、供应商必须据实填具此表，应与谈判响应文件的有关内容一致。</w:t>
      </w:r>
    </w:p>
    <w:p w14:paraId="5D5E23D7">
      <w:pPr>
        <w:pStyle w:val="17"/>
        <w:spacing w:line="360" w:lineRule="auto"/>
        <w:rPr>
          <w:rFonts w:hint="eastAsia" w:asciiTheme="minorEastAsia" w:hAnsiTheme="minorEastAsia" w:eastAsiaTheme="minorEastAsia" w:cstheme="minorEastAsia"/>
          <w:b/>
          <w:bCs/>
          <w:sz w:val="24"/>
          <w:szCs w:val="24"/>
        </w:rPr>
      </w:pPr>
    </w:p>
    <w:p w14:paraId="7F91D6F4">
      <w:pPr>
        <w:pStyle w:val="17"/>
        <w:spacing w:line="360" w:lineRule="auto"/>
        <w:rPr>
          <w:rFonts w:hint="eastAsia" w:asciiTheme="minorEastAsia" w:hAnsiTheme="minorEastAsia" w:eastAsiaTheme="minorEastAsia" w:cstheme="minorEastAsia"/>
          <w:sz w:val="30"/>
        </w:rPr>
      </w:pPr>
      <w:r>
        <w:rPr>
          <w:rFonts w:hint="eastAsia" w:asciiTheme="minorEastAsia" w:hAnsiTheme="minorEastAsia" w:eastAsiaTheme="minorEastAsia" w:cstheme="minorEastAsia"/>
        </w:rPr>
        <w:t>法定代表人或其授权委托代理人签字：</w:t>
      </w:r>
    </w:p>
    <w:p w14:paraId="18F04568">
      <w:pPr>
        <w:pStyle w:val="17"/>
        <w:spacing w:line="360" w:lineRule="auto"/>
        <w:rPr>
          <w:rFonts w:hint="eastAsia" w:asciiTheme="minorEastAsia" w:hAnsiTheme="minorEastAsia" w:eastAsiaTheme="minorEastAsia" w:cstheme="minorEastAsia"/>
          <w:sz w:val="30"/>
        </w:rPr>
      </w:pPr>
    </w:p>
    <w:p w14:paraId="54A35682">
      <w:pPr>
        <w:pStyle w:val="17"/>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14:paraId="193AAE1E">
      <w:pPr>
        <w:pStyle w:val="17"/>
        <w:spacing w:line="360" w:lineRule="auto"/>
        <w:rPr>
          <w:rFonts w:hint="eastAsia" w:asciiTheme="minorEastAsia" w:hAnsiTheme="minorEastAsia" w:eastAsiaTheme="minorEastAsia" w:cstheme="minorEastAsia"/>
        </w:rPr>
      </w:pPr>
    </w:p>
    <w:p w14:paraId="7B367628">
      <w:pPr>
        <w:pStyle w:val="17"/>
        <w:spacing w:line="360" w:lineRule="auto"/>
        <w:rPr>
          <w:rFonts w:hint="eastAsia" w:asciiTheme="minorEastAsia" w:hAnsiTheme="minorEastAsia" w:eastAsiaTheme="minorEastAsia" w:cstheme="minorEastAsia"/>
        </w:rPr>
      </w:pPr>
    </w:p>
    <w:p w14:paraId="735FE4C0">
      <w:pPr>
        <w:pStyle w:val="17"/>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首轮报价明细表</w:t>
      </w:r>
    </w:p>
    <w:p w14:paraId="40D77C48">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（按工程量清单投标格式填写）</w:t>
      </w:r>
    </w:p>
    <w:p w14:paraId="25FCABE1">
      <w:pPr>
        <w:spacing w:line="360" w:lineRule="auto"/>
        <w:jc w:val="center"/>
        <w:rPr>
          <w:rFonts w:hint="eastAsia" w:asciiTheme="minorEastAsia" w:hAnsiTheme="minorEastAsia" w:eastAsiaTheme="minorEastAsia" w:cstheme="minorEastAsia"/>
          <w:b/>
          <w:bCs/>
          <w:sz w:val="24"/>
        </w:rPr>
        <w:sectPr>
          <w:pgSz w:w="11906" w:h="16838"/>
          <w:pgMar w:top="1440" w:right="1800" w:bottom="1440" w:left="1800" w:header="851" w:footer="992" w:gutter="0"/>
          <w:cols w:space="720" w:num="1"/>
          <w:docGrid w:linePitch="360" w:charSpace="0"/>
        </w:sectPr>
      </w:pPr>
      <w:r>
        <w:rPr>
          <w:rFonts w:hint="eastAsia" w:asciiTheme="minorEastAsia" w:hAnsiTheme="minorEastAsia" w:eastAsiaTheme="minorEastAsia" w:cstheme="minorEastAsia"/>
          <w:b/>
          <w:bCs/>
          <w:sz w:val="24"/>
        </w:rPr>
        <w:t xml:space="preserve">  </w:t>
      </w:r>
    </w:p>
    <w:p w14:paraId="695A947A">
      <w:pPr>
        <w:pStyle w:val="4"/>
        <w:jc w:val="center"/>
        <w:rPr>
          <w:rFonts w:hint="eastAsia" w:ascii="宋体" w:hAnsi="宋体" w:eastAsia="宋体" w:cs="宋体"/>
          <w:b/>
          <w:bCs/>
          <w:color w:val="auto"/>
        </w:rPr>
      </w:pPr>
      <w:r>
        <w:rPr>
          <w:rFonts w:hint="eastAsia" w:ascii="宋体" w:hAnsi="宋体" w:eastAsia="宋体" w:cs="宋体"/>
          <w:b/>
          <w:bCs/>
          <w:color w:val="auto"/>
        </w:rPr>
        <w:t>三、法定代表人身份证明书</w:t>
      </w:r>
      <w:bookmarkEnd w:id="754"/>
    </w:p>
    <w:p w14:paraId="52FEFFEF">
      <w:pPr>
        <w:spacing w:line="360" w:lineRule="auto"/>
        <w:jc w:val="center"/>
        <w:rPr>
          <w:rFonts w:hint="eastAsia" w:ascii="楷体" w:hAnsi="楷体" w:eastAsia="楷体"/>
          <w:b/>
          <w:sz w:val="36"/>
          <w:szCs w:val="36"/>
        </w:rPr>
      </w:pPr>
    </w:p>
    <w:p w14:paraId="1BAD5815">
      <w:pPr>
        <w:spacing w:line="360" w:lineRule="auto"/>
        <w:ind w:left="141" w:firstLine="360"/>
        <w:rPr>
          <w:rFonts w:hint="eastAsia" w:ascii="宋体" w:hAnsi="宋体"/>
          <w:sz w:val="24"/>
        </w:rPr>
      </w:pPr>
      <w:r>
        <w:rPr>
          <w:rFonts w:hint="eastAsia" w:ascii="宋体" w:hAnsi="宋体"/>
          <w:sz w:val="24"/>
        </w:rPr>
        <w:t>兹证明</w:t>
      </w:r>
      <w:r>
        <w:rPr>
          <w:rFonts w:hint="eastAsia" w:ascii="宋体" w:hAnsi="宋体"/>
          <w:sz w:val="24"/>
          <w:u w:val="single"/>
        </w:rPr>
        <w:t xml:space="preserve">  (姓名)  </w:t>
      </w:r>
      <w:r>
        <w:rPr>
          <w:rFonts w:hint="eastAsia" w:ascii="宋体" w:hAnsi="宋体"/>
          <w:sz w:val="24"/>
        </w:rPr>
        <w:t>同志，性别</w:t>
      </w:r>
      <w:r>
        <w:rPr>
          <w:rFonts w:hint="eastAsia" w:ascii="宋体" w:hAnsi="宋体"/>
          <w:sz w:val="24"/>
          <w:u w:val="single"/>
        </w:rPr>
        <w:t xml:space="preserve">     </w:t>
      </w:r>
      <w:r>
        <w:rPr>
          <w:rFonts w:hint="eastAsia" w:ascii="宋体" w:hAnsi="宋体"/>
          <w:sz w:val="24"/>
        </w:rPr>
        <w:t>，居民身份证号</w:t>
      </w:r>
      <w:r>
        <w:rPr>
          <w:rFonts w:hint="eastAsia" w:ascii="宋体" w:hAnsi="宋体"/>
          <w:sz w:val="24"/>
          <w:u w:val="single"/>
        </w:rPr>
        <w:t xml:space="preserve">                  </w:t>
      </w:r>
      <w:r>
        <w:rPr>
          <w:rFonts w:hint="eastAsia" w:ascii="宋体" w:hAnsi="宋体"/>
          <w:sz w:val="24"/>
        </w:rPr>
        <w:t>，在我单位任</w:t>
      </w:r>
      <w:r>
        <w:rPr>
          <w:rFonts w:hint="eastAsia" w:ascii="宋体" w:hAnsi="宋体"/>
          <w:sz w:val="24"/>
          <w:u w:val="single"/>
        </w:rPr>
        <w:t xml:space="preserve">           </w:t>
      </w:r>
      <w:r>
        <w:rPr>
          <w:rFonts w:hint="eastAsia" w:ascii="宋体" w:hAnsi="宋体"/>
          <w:sz w:val="24"/>
        </w:rPr>
        <w:t>职务，系我单位主要负责任人，即法定代表人。</w:t>
      </w:r>
    </w:p>
    <w:p w14:paraId="6418D274">
      <w:pPr>
        <w:spacing w:line="360" w:lineRule="auto"/>
        <w:rPr>
          <w:rFonts w:hint="eastAsia" w:ascii="楷体" w:hAnsi="楷体" w:eastAsia="楷体"/>
          <w:sz w:val="24"/>
        </w:rPr>
      </w:pPr>
    </w:p>
    <w:p w14:paraId="274E8828">
      <w:pPr>
        <w:spacing w:line="360" w:lineRule="auto"/>
        <w:rPr>
          <w:rFonts w:hint="eastAsia" w:ascii="宋体" w:hAnsi="宋体"/>
          <w:sz w:val="24"/>
          <w:u w:val="single"/>
        </w:rPr>
      </w:pPr>
      <w:r>
        <w:rPr>
          <w:rFonts w:hint="eastAsia" w:ascii="宋体" w:hAnsi="宋体"/>
          <w:sz w:val="24"/>
        </w:rPr>
        <w:t>单位地址：</w:t>
      </w:r>
      <w:r>
        <w:rPr>
          <w:rFonts w:hint="eastAsia" w:ascii="宋体" w:hAnsi="宋体"/>
          <w:sz w:val="24"/>
          <w:u w:val="single"/>
        </w:rPr>
        <w:t xml:space="preserve">                               </w:t>
      </w:r>
    </w:p>
    <w:p w14:paraId="0ACA1C1C">
      <w:pPr>
        <w:spacing w:line="360" w:lineRule="auto"/>
        <w:rPr>
          <w:rFonts w:hint="eastAsia" w:ascii="宋体" w:hAnsi="宋体"/>
          <w:sz w:val="24"/>
        </w:rPr>
      </w:pPr>
    </w:p>
    <w:p w14:paraId="06A50CC8">
      <w:pPr>
        <w:spacing w:line="360" w:lineRule="auto"/>
        <w:rPr>
          <w:rFonts w:hint="eastAsia" w:ascii="宋体" w:hAnsi="宋体"/>
          <w:sz w:val="24"/>
          <w:u w:val="single"/>
        </w:rPr>
      </w:pPr>
      <w:r>
        <w:rPr>
          <w:rFonts w:hint="eastAsia" w:ascii="宋体" w:hAnsi="宋体"/>
          <w:sz w:val="24"/>
        </w:rPr>
        <w:t>电    话：</w:t>
      </w:r>
      <w:r>
        <w:rPr>
          <w:rFonts w:hint="eastAsia" w:ascii="宋体" w:hAnsi="宋体"/>
          <w:sz w:val="24"/>
          <w:u w:val="single"/>
        </w:rPr>
        <w:t xml:space="preserve">                               </w:t>
      </w:r>
    </w:p>
    <w:p w14:paraId="04E80763">
      <w:pPr>
        <w:spacing w:line="360" w:lineRule="auto"/>
        <w:rPr>
          <w:rFonts w:hint="eastAsia" w:ascii="宋体" w:hAnsi="宋体"/>
          <w:sz w:val="24"/>
        </w:rPr>
      </w:pPr>
    </w:p>
    <w:p w14:paraId="54701351">
      <w:pPr>
        <w:spacing w:line="360" w:lineRule="auto"/>
        <w:rPr>
          <w:rFonts w:hint="eastAsia" w:ascii="宋体" w:hAnsi="宋体"/>
          <w:sz w:val="24"/>
          <w:u w:val="single"/>
        </w:rPr>
      </w:pPr>
      <w:r>
        <w:rPr>
          <w:rFonts w:hint="eastAsia" w:ascii="宋体" w:hAnsi="宋体"/>
          <w:sz w:val="24"/>
        </w:rPr>
        <w:t xml:space="preserve">单位全称： </w:t>
      </w:r>
      <w:r>
        <w:rPr>
          <w:rFonts w:hint="eastAsia" w:ascii="宋体" w:hAnsi="宋体"/>
          <w:sz w:val="24"/>
          <w:u w:val="single"/>
        </w:rPr>
        <w:t xml:space="preserve">                            </w:t>
      </w:r>
    </w:p>
    <w:p w14:paraId="6AA1E6A9">
      <w:pPr>
        <w:spacing w:line="360" w:lineRule="auto"/>
        <w:rPr>
          <w:rFonts w:hint="eastAsia" w:ascii="宋体" w:hAnsi="宋体"/>
          <w:sz w:val="24"/>
        </w:rPr>
      </w:pPr>
    </w:p>
    <w:p w14:paraId="601AD23C">
      <w:pPr>
        <w:spacing w:line="360" w:lineRule="auto"/>
        <w:rPr>
          <w:rFonts w:hint="eastAsia" w:ascii="宋体" w:hAnsi="宋体"/>
          <w:sz w:val="24"/>
        </w:rPr>
      </w:pPr>
      <w:r>
        <w:rPr>
          <w:rFonts w:hint="eastAsia" w:ascii="宋体" w:hAnsi="宋体"/>
          <w:sz w:val="24"/>
        </w:rPr>
        <w:t>单位盖章：</w:t>
      </w:r>
      <w:r>
        <w:rPr>
          <w:rFonts w:hint="eastAsia" w:ascii="宋体" w:hAnsi="宋体"/>
          <w:sz w:val="24"/>
          <w:u w:val="single"/>
        </w:rPr>
        <w:t xml:space="preserve">                             </w:t>
      </w:r>
      <w:r>
        <w:rPr>
          <w:rFonts w:hint="eastAsia" w:ascii="宋体" w:hAnsi="宋体"/>
          <w:sz w:val="24"/>
        </w:rPr>
        <w:t xml:space="preserve"> </w:t>
      </w:r>
    </w:p>
    <w:p w14:paraId="000036C5">
      <w:pPr>
        <w:tabs>
          <w:tab w:val="left" w:pos="7290"/>
        </w:tabs>
        <w:spacing w:line="360" w:lineRule="auto"/>
        <w:rPr>
          <w:rFonts w:hint="eastAsia" w:ascii="宋体" w:hAnsi="宋体"/>
          <w:sz w:val="24"/>
        </w:rPr>
      </w:pPr>
      <w:r>
        <w:rPr>
          <w:rFonts w:hint="eastAsia" w:ascii="宋体" w:hAnsi="宋体"/>
          <w:sz w:val="24"/>
        </w:rPr>
        <w:t xml:space="preserve">                                </w:t>
      </w:r>
    </w:p>
    <w:p w14:paraId="2341D76B">
      <w:pPr>
        <w:tabs>
          <w:tab w:val="left" w:pos="7290"/>
        </w:tabs>
        <w:spacing w:line="360" w:lineRule="auto"/>
        <w:jc w:val="right"/>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FF1F206">
      <w:pPr>
        <w:tabs>
          <w:tab w:val="left" w:pos="7290"/>
        </w:tabs>
        <w:spacing w:line="360" w:lineRule="auto"/>
        <w:jc w:val="left"/>
        <w:rPr>
          <w:rFonts w:hint="eastAsia" w:ascii="宋体" w:hAnsi="宋体"/>
          <w:sz w:val="24"/>
        </w:rPr>
      </w:pPr>
    </w:p>
    <w:p w14:paraId="6FDEA2C0">
      <w:pPr>
        <w:tabs>
          <w:tab w:val="left" w:pos="7290"/>
        </w:tabs>
        <w:spacing w:line="360" w:lineRule="auto"/>
        <w:jc w:val="left"/>
        <w:rPr>
          <w:rFonts w:hint="eastAsia" w:ascii="宋体" w:hAnsi="宋体"/>
          <w:sz w:val="24"/>
        </w:rPr>
      </w:pPr>
      <w:r>
        <w:rPr>
          <w:rFonts w:hint="eastAsia" w:ascii="宋体" w:hAnsi="宋体"/>
          <w:sz w:val="24"/>
        </w:rPr>
        <w:t>注：后附法定代表人居民身份证复印件。</w:t>
      </w:r>
    </w:p>
    <w:p w14:paraId="4B168008">
      <w:pPr>
        <w:rPr>
          <w:sz w:val="24"/>
        </w:rPr>
        <w:sectPr>
          <w:pgSz w:w="11906" w:h="16838"/>
          <w:pgMar w:top="1440" w:right="1800" w:bottom="1440" w:left="1800" w:header="851" w:footer="992" w:gutter="0"/>
          <w:cols w:space="720" w:num="1"/>
          <w:docGrid w:linePitch="360" w:charSpace="0"/>
        </w:sectPr>
      </w:pPr>
    </w:p>
    <w:p w14:paraId="393A9C7B">
      <w:pPr>
        <w:pStyle w:val="4"/>
        <w:jc w:val="center"/>
        <w:rPr>
          <w:rFonts w:hint="eastAsia" w:asciiTheme="minorEastAsia" w:hAnsiTheme="minorEastAsia" w:eastAsiaTheme="minorEastAsia" w:cstheme="minorEastAsia"/>
          <w:b/>
          <w:bCs/>
          <w:color w:val="auto"/>
          <w:sz w:val="24"/>
          <w:szCs w:val="24"/>
        </w:rPr>
      </w:pPr>
      <w:bookmarkStart w:id="755" w:name="_Toc43036669"/>
      <w:r>
        <w:rPr>
          <w:rFonts w:hint="eastAsia" w:asciiTheme="minorEastAsia" w:hAnsiTheme="minorEastAsia" w:eastAsiaTheme="minorEastAsia" w:cstheme="minorEastAsia"/>
          <w:b/>
          <w:bCs/>
          <w:color w:val="auto"/>
          <w:sz w:val="24"/>
          <w:szCs w:val="24"/>
        </w:rPr>
        <w:t>法人授权委托书</w:t>
      </w:r>
      <w:bookmarkEnd w:id="755"/>
    </w:p>
    <w:p w14:paraId="1891F1E7">
      <w:pPr>
        <w:pStyle w:val="12"/>
        <w:rPr>
          <w:rFonts w:hint="eastAsia" w:ascii="楷体" w:hAnsi="楷体" w:eastAsia="楷体"/>
          <w:sz w:val="24"/>
          <w:szCs w:val="24"/>
        </w:rPr>
      </w:pPr>
    </w:p>
    <w:p w14:paraId="31F9EEE1">
      <w:pPr>
        <w:spacing w:line="360" w:lineRule="auto"/>
        <w:ind w:right="420" w:firstLine="480"/>
        <w:jc w:val="left"/>
        <w:rPr>
          <w:rFonts w:hint="eastAsia" w:ascii="宋体" w:hAnsi="宋体"/>
          <w:sz w:val="24"/>
        </w:rPr>
      </w:pPr>
      <w:r>
        <w:rPr>
          <w:rFonts w:hint="eastAsia" w:ascii="宋体" w:hAnsi="宋体"/>
          <w:sz w:val="24"/>
        </w:rPr>
        <w:t>本授权书声明：</w:t>
      </w:r>
      <w:r>
        <w:rPr>
          <w:rFonts w:hint="eastAsia" w:ascii="宋体" w:hAnsi="宋体"/>
          <w:sz w:val="24"/>
          <w:u w:val="single"/>
        </w:rPr>
        <w:t xml:space="preserve"> （单位名称） </w:t>
      </w:r>
      <w:r>
        <w:rPr>
          <w:rFonts w:hint="eastAsia" w:ascii="宋体" w:hAnsi="宋体"/>
          <w:sz w:val="24"/>
        </w:rPr>
        <w:t>的法定代表人</w:t>
      </w:r>
      <w:r>
        <w:rPr>
          <w:rFonts w:hint="eastAsia" w:ascii="宋体" w:hAnsi="宋体"/>
          <w:sz w:val="24"/>
          <w:u w:val="single"/>
        </w:rPr>
        <w:t xml:space="preserve"> （姓名） </w:t>
      </w:r>
      <w:r>
        <w:rPr>
          <w:rFonts w:hint="eastAsia" w:ascii="宋体" w:hAnsi="宋体"/>
          <w:sz w:val="24"/>
        </w:rPr>
        <w:t>授权</w:t>
      </w:r>
      <w:r>
        <w:rPr>
          <w:rFonts w:hint="eastAsia" w:ascii="宋体" w:hAnsi="宋体"/>
          <w:sz w:val="24"/>
          <w:u w:val="single"/>
        </w:rPr>
        <w:t>（被授权人的姓名、职务）</w:t>
      </w:r>
      <w:r>
        <w:rPr>
          <w:rFonts w:hint="eastAsia" w:ascii="宋体" w:hAnsi="宋体"/>
          <w:sz w:val="24"/>
        </w:rPr>
        <w:t>为我方</w:t>
      </w:r>
      <w:r>
        <w:rPr>
          <w:rFonts w:hint="eastAsia" w:ascii="宋体" w:hAnsi="宋体"/>
          <w:sz w:val="24"/>
          <w:u w:val="single"/>
        </w:rPr>
        <w:t xml:space="preserve">  (项目名称)</w:t>
      </w:r>
      <w:r>
        <w:rPr>
          <w:rFonts w:hint="eastAsia" w:ascii="宋体" w:hAnsi="宋体"/>
          <w:sz w:val="24"/>
        </w:rPr>
        <w:t>的合法代理人，以本单位名义全权处理一切与该项目有关的事务。</w:t>
      </w:r>
    </w:p>
    <w:p w14:paraId="5C4DFDE9">
      <w:pPr>
        <w:tabs>
          <w:tab w:val="left" w:pos="5560"/>
        </w:tabs>
        <w:spacing w:line="360" w:lineRule="auto"/>
        <w:ind w:firstLine="646"/>
        <w:rPr>
          <w:rFonts w:hint="eastAsia" w:ascii="楷体" w:hAnsi="楷体" w:eastAsia="楷体"/>
          <w:sz w:val="24"/>
        </w:rPr>
      </w:pPr>
      <w:r>
        <w:rPr>
          <w:rFonts w:hint="eastAsia" w:ascii="楷体" w:hAnsi="楷体" w:eastAsia="楷体"/>
          <w:sz w:val="24"/>
        </w:rPr>
        <w:tab/>
      </w:r>
    </w:p>
    <w:p w14:paraId="3712BB1F">
      <w:pPr>
        <w:spacing w:line="360" w:lineRule="auto"/>
        <w:jc w:val="left"/>
        <w:rPr>
          <w:rFonts w:hint="eastAsia"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64A1682E">
      <w:pPr>
        <w:spacing w:line="360" w:lineRule="auto"/>
        <w:ind w:firstLine="645"/>
        <w:rPr>
          <w:rFonts w:hint="eastAsia" w:ascii="宋体" w:hAnsi="宋体"/>
          <w:sz w:val="24"/>
        </w:rPr>
      </w:pPr>
    </w:p>
    <w:p w14:paraId="1F269756">
      <w:pPr>
        <w:spacing w:line="360" w:lineRule="auto"/>
        <w:rPr>
          <w:rFonts w:hint="eastAsia" w:ascii="宋体" w:hAnsi="宋体"/>
          <w:sz w:val="24"/>
          <w:u w:val="single"/>
        </w:rPr>
      </w:pPr>
      <w:r>
        <w:rPr>
          <w:rFonts w:hint="eastAsia" w:ascii="宋体" w:hAnsi="宋体"/>
          <w:sz w:val="24"/>
        </w:rPr>
        <w:t>法定代表人签字或盖章：</w:t>
      </w:r>
      <w:r>
        <w:rPr>
          <w:rFonts w:hint="eastAsia" w:ascii="宋体" w:hAnsi="宋体"/>
          <w:sz w:val="24"/>
          <w:u w:val="single"/>
        </w:rPr>
        <w:t xml:space="preserve">                        </w:t>
      </w:r>
    </w:p>
    <w:p w14:paraId="268883ED">
      <w:pPr>
        <w:spacing w:line="360" w:lineRule="auto"/>
        <w:rPr>
          <w:rFonts w:hint="eastAsia" w:ascii="宋体" w:hAnsi="宋体"/>
          <w:sz w:val="24"/>
          <w:u w:val="single"/>
        </w:rPr>
      </w:pPr>
      <w:r>
        <w:rPr>
          <w:rFonts w:hint="eastAsia" w:ascii="宋体" w:hAnsi="宋体"/>
          <w:sz w:val="24"/>
        </w:rPr>
        <w:t xml:space="preserve">            职    务：</w:t>
      </w:r>
      <w:r>
        <w:rPr>
          <w:rFonts w:hint="eastAsia" w:ascii="宋体" w:hAnsi="宋体"/>
          <w:sz w:val="24"/>
          <w:u w:val="single"/>
        </w:rPr>
        <w:t xml:space="preserve">                        </w:t>
      </w:r>
    </w:p>
    <w:p w14:paraId="5E39F216">
      <w:pPr>
        <w:spacing w:line="360" w:lineRule="auto"/>
        <w:rPr>
          <w:rFonts w:hint="eastAsia" w:ascii="宋体" w:hAnsi="宋体"/>
          <w:sz w:val="24"/>
          <w:u w:val="single"/>
        </w:rPr>
      </w:pPr>
      <w:r>
        <w:rPr>
          <w:rFonts w:hint="eastAsia" w:ascii="宋体" w:hAnsi="宋体"/>
          <w:sz w:val="24"/>
        </w:rPr>
        <w:t xml:space="preserve">            单位名称：</w:t>
      </w:r>
      <w:r>
        <w:rPr>
          <w:rFonts w:hint="eastAsia" w:ascii="宋体" w:hAnsi="宋体"/>
          <w:sz w:val="24"/>
          <w:u w:val="single"/>
        </w:rPr>
        <w:t xml:space="preserve">                        </w:t>
      </w:r>
    </w:p>
    <w:p w14:paraId="700931C5">
      <w:pPr>
        <w:spacing w:line="360" w:lineRule="auto"/>
        <w:rPr>
          <w:rFonts w:hint="eastAsia" w:ascii="宋体" w:hAnsi="宋体"/>
          <w:sz w:val="24"/>
        </w:rPr>
      </w:pPr>
      <w:r>
        <w:rPr>
          <w:rFonts w:hint="eastAsia" w:ascii="宋体" w:hAnsi="宋体"/>
          <w:sz w:val="24"/>
        </w:rPr>
        <w:t>代理人（被授权人）签字：</w:t>
      </w:r>
      <w:r>
        <w:rPr>
          <w:rFonts w:hint="eastAsia" w:ascii="宋体" w:hAnsi="宋体"/>
          <w:sz w:val="24"/>
          <w:u w:val="single"/>
        </w:rPr>
        <w:t xml:space="preserve">                      </w:t>
      </w:r>
    </w:p>
    <w:p w14:paraId="2BC75578">
      <w:pPr>
        <w:spacing w:line="360" w:lineRule="auto"/>
        <w:rPr>
          <w:rFonts w:hint="eastAsia" w:ascii="宋体" w:hAnsi="宋体"/>
          <w:sz w:val="24"/>
        </w:rPr>
      </w:pPr>
      <w:r>
        <w:rPr>
          <w:rFonts w:hint="eastAsia" w:ascii="宋体" w:hAnsi="宋体"/>
          <w:sz w:val="24"/>
        </w:rPr>
        <w:t xml:space="preserve">            职    务：</w:t>
      </w:r>
      <w:r>
        <w:rPr>
          <w:rFonts w:hint="eastAsia" w:ascii="宋体" w:hAnsi="宋体"/>
          <w:sz w:val="24"/>
          <w:u w:val="single"/>
        </w:rPr>
        <w:t xml:space="preserve">                         </w:t>
      </w:r>
    </w:p>
    <w:p w14:paraId="19269CA9">
      <w:pPr>
        <w:spacing w:line="360" w:lineRule="auto"/>
        <w:ind w:firstLine="1440"/>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p>
    <w:p w14:paraId="7954BE7B">
      <w:pPr>
        <w:spacing w:line="360" w:lineRule="auto"/>
        <w:rPr>
          <w:rFonts w:hint="eastAsia" w:ascii="宋体" w:hAnsi="宋体"/>
          <w:sz w:val="24"/>
        </w:rPr>
      </w:pPr>
    </w:p>
    <w:p w14:paraId="431C72A3">
      <w:pPr>
        <w:spacing w:line="360" w:lineRule="auto"/>
        <w:rPr>
          <w:rFonts w:hint="eastAsia" w:ascii="宋体" w:hAnsi="宋体"/>
          <w:sz w:val="24"/>
          <w:u w:val="single"/>
        </w:rPr>
      </w:pPr>
      <w:r>
        <w:rPr>
          <w:rFonts w:hint="eastAsia" w:ascii="宋体" w:hAnsi="宋体"/>
          <w:sz w:val="24"/>
        </w:rPr>
        <w:t>单位名称（公章）：</w:t>
      </w:r>
      <w:r>
        <w:rPr>
          <w:rFonts w:hint="eastAsia" w:ascii="宋体" w:hAnsi="宋体"/>
          <w:sz w:val="24"/>
          <w:u w:val="single"/>
        </w:rPr>
        <w:t xml:space="preserve">                           </w:t>
      </w:r>
    </w:p>
    <w:p w14:paraId="3566BE18">
      <w:pPr>
        <w:spacing w:line="360" w:lineRule="auto"/>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w:t>
      </w:r>
    </w:p>
    <w:p w14:paraId="41976141">
      <w:pPr>
        <w:spacing w:line="360" w:lineRule="auto"/>
        <w:rPr>
          <w:rFonts w:hint="eastAsia" w:ascii="宋体" w:hAnsi="宋体"/>
          <w:sz w:val="24"/>
          <w:u w:val="single"/>
        </w:rPr>
      </w:pPr>
    </w:p>
    <w:p w14:paraId="677ADFD7">
      <w:pPr>
        <w:spacing w:line="360" w:lineRule="auto"/>
        <w:rPr>
          <w:rFonts w:hint="eastAsia" w:ascii="MS Mincho" w:hAnsi="MS Mincho" w:eastAsia="MS Mincho" w:cs="MS Mincho"/>
          <w:sz w:val="24"/>
        </w:rPr>
        <w:sectPr>
          <w:pgSz w:w="11906" w:h="16838"/>
          <w:pgMar w:top="1440" w:right="1800" w:bottom="1440" w:left="1800" w:header="851" w:footer="992" w:gutter="0"/>
          <w:cols w:space="720" w:num="1"/>
          <w:docGrid w:linePitch="360" w:charSpace="0"/>
        </w:sectPr>
      </w:pPr>
      <w:r>
        <w:rPr>
          <w:rFonts w:ascii="宋体" w:hAnsi="宋体"/>
          <w:sz w:val="24"/>
        </w:rPr>
        <w:t>注:</w:t>
      </w:r>
      <w:r>
        <w:rPr>
          <w:rFonts w:hint="eastAsia" w:ascii="宋体" w:hAnsi="宋体"/>
          <w:sz w:val="24"/>
        </w:rPr>
        <w:t>后附被授权人居民身份证复印件。</w:t>
      </w:r>
    </w:p>
    <w:p w14:paraId="6FEA2427">
      <w:pPr>
        <w:pStyle w:val="4"/>
        <w:rPr>
          <w:rFonts w:hint="eastAsia" w:asciiTheme="minorEastAsia" w:hAnsiTheme="minorEastAsia" w:eastAsiaTheme="minorEastAsia" w:cstheme="minorEastAsia"/>
          <w:b/>
          <w:bCs/>
          <w:color w:val="auto"/>
        </w:rPr>
      </w:pPr>
      <w:bookmarkStart w:id="756" w:name="_Toc43036670"/>
      <w:r>
        <w:rPr>
          <w:rFonts w:hint="eastAsia" w:asciiTheme="minorEastAsia" w:hAnsiTheme="minorEastAsia" w:eastAsiaTheme="minorEastAsia" w:cstheme="minorEastAsia"/>
          <w:b/>
          <w:bCs/>
          <w:color w:val="auto"/>
        </w:rPr>
        <w:t>四、</w:t>
      </w:r>
      <w:bookmarkEnd w:id="756"/>
      <w:r>
        <w:rPr>
          <w:rFonts w:hint="eastAsia" w:asciiTheme="minorEastAsia" w:hAnsiTheme="minorEastAsia" w:eastAsiaTheme="minorEastAsia" w:cstheme="minorEastAsia"/>
          <w:b/>
          <w:bCs/>
          <w:color w:val="auto"/>
        </w:rPr>
        <w:t>响应文件格式文本</w:t>
      </w:r>
    </w:p>
    <w:p w14:paraId="0479DF56">
      <w:pPr>
        <w:jc w:val="center"/>
        <w:rPr>
          <w:b/>
          <w:color w:val="C00000"/>
          <w:sz w:val="28"/>
        </w:rPr>
      </w:pPr>
      <w:r>
        <w:rPr>
          <w:rFonts w:hint="eastAsia"/>
          <w:b/>
          <w:sz w:val="28"/>
        </w:rPr>
        <w:t>（一）项目承诺书</w:t>
      </w:r>
    </w:p>
    <w:p w14:paraId="5279A0C3">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1F192D5C">
      <w:pPr>
        <w:spacing w:line="360" w:lineRule="auto"/>
        <w:ind w:firstLine="480"/>
        <w:rPr>
          <w:rFonts w:hint="eastAsia" w:ascii="宋体" w:hAnsi="宋体"/>
          <w:sz w:val="24"/>
        </w:rPr>
      </w:pPr>
      <w:r>
        <w:rPr>
          <w:rFonts w:hint="eastAsia" w:ascii="宋体" w:hAnsi="宋体"/>
          <w:sz w:val="24"/>
        </w:rPr>
        <w:t>为确保本项目谈判工作顺利进行，我公司在此承诺：</w:t>
      </w:r>
    </w:p>
    <w:p w14:paraId="23EDF811">
      <w:pPr>
        <w:spacing w:line="360" w:lineRule="auto"/>
        <w:ind w:firstLine="480"/>
        <w:rPr>
          <w:rFonts w:hint="eastAsia" w:ascii="宋体" w:hAnsi="宋体" w:cs="宋体"/>
          <w:sz w:val="24"/>
        </w:rPr>
      </w:pPr>
      <w:r>
        <w:rPr>
          <w:rFonts w:hint="eastAsia"/>
          <w:sz w:val="24"/>
        </w:rPr>
        <w:t>1、我公司未处于被责令停业、投标资格被取消或者财产被接管，冻结和破</w:t>
      </w:r>
      <w:r>
        <w:rPr>
          <w:rFonts w:hint="eastAsia" w:ascii="宋体" w:hAnsi="宋体" w:cs="宋体"/>
          <w:sz w:val="24"/>
        </w:rPr>
        <w:t>产状态。</w:t>
      </w:r>
    </w:p>
    <w:p w14:paraId="7B526F40">
      <w:pPr>
        <w:spacing w:line="360" w:lineRule="auto"/>
        <w:ind w:firstLine="480"/>
        <w:rPr>
          <w:sz w:val="24"/>
        </w:rPr>
      </w:pPr>
      <w:r>
        <w:rPr>
          <w:rFonts w:hint="eastAsia"/>
          <w:sz w:val="24"/>
        </w:rPr>
        <w:t>2、我公司的资格审查资料中的重要内容没有失实或弄虚作假。</w:t>
      </w:r>
    </w:p>
    <w:p w14:paraId="2482EA9B">
      <w:pPr>
        <w:spacing w:line="360" w:lineRule="auto"/>
        <w:ind w:firstLine="480"/>
        <w:rPr>
          <w:sz w:val="24"/>
        </w:rPr>
      </w:pPr>
      <w:r>
        <w:rPr>
          <w:rFonts w:hint="eastAsia"/>
          <w:sz w:val="24"/>
        </w:rPr>
        <w:t>3、我公司符合法律、法规规定的其它条件。</w:t>
      </w:r>
    </w:p>
    <w:p w14:paraId="4D6EF5A1">
      <w:pPr>
        <w:spacing w:line="360" w:lineRule="auto"/>
        <w:ind w:firstLine="480"/>
        <w:rPr>
          <w:sz w:val="24"/>
        </w:rPr>
      </w:pPr>
      <w:r>
        <w:rPr>
          <w:rFonts w:hint="eastAsia"/>
          <w:sz w:val="24"/>
        </w:rPr>
        <w:t>4、我公司无下列行为：</w:t>
      </w:r>
    </w:p>
    <w:p w14:paraId="34D1F99B">
      <w:pPr>
        <w:spacing w:line="360" w:lineRule="auto"/>
        <w:ind w:firstLine="480"/>
        <w:rPr>
          <w:sz w:val="24"/>
        </w:rPr>
      </w:pPr>
      <w:r>
        <w:rPr>
          <w:rFonts w:hint="eastAsia"/>
          <w:sz w:val="24"/>
        </w:rPr>
        <w:t>（1）与采购人存在利害关系可能影响采购公正性的法人、其他组织或者个人；</w:t>
      </w:r>
    </w:p>
    <w:p w14:paraId="76617A29">
      <w:pPr>
        <w:spacing w:line="360" w:lineRule="auto"/>
        <w:ind w:firstLine="480"/>
        <w:rPr>
          <w:sz w:val="24"/>
        </w:rPr>
      </w:pPr>
      <w:r>
        <w:rPr>
          <w:rFonts w:hint="eastAsia"/>
          <w:sz w:val="24"/>
        </w:rPr>
        <w:t>（2）单位负责人为同一人或者存在控股、管理关系的不同单位；</w:t>
      </w:r>
    </w:p>
    <w:p w14:paraId="14986258">
      <w:pPr>
        <w:spacing w:line="360" w:lineRule="auto"/>
        <w:ind w:firstLine="480"/>
        <w:rPr>
          <w:sz w:val="24"/>
        </w:rPr>
      </w:pPr>
      <w:r>
        <w:rPr>
          <w:rFonts w:hint="eastAsia"/>
          <w:sz w:val="24"/>
        </w:rPr>
        <w:t>（3）违反法律、法规规定的其他情形；</w:t>
      </w:r>
    </w:p>
    <w:p w14:paraId="35018FBA">
      <w:pPr>
        <w:spacing w:line="360" w:lineRule="auto"/>
        <w:ind w:firstLine="480"/>
        <w:rPr>
          <w:sz w:val="24"/>
        </w:rPr>
      </w:pPr>
      <w:r>
        <w:rPr>
          <w:rFonts w:hint="eastAsia"/>
          <w:sz w:val="24"/>
        </w:rPr>
        <w:t>（4）因采购活动中有违法、违规等不良行为，被行政监督主管部门公示限制且限制期限未满的。</w:t>
      </w:r>
    </w:p>
    <w:p w14:paraId="17F3B088">
      <w:pPr>
        <w:spacing w:line="360" w:lineRule="auto"/>
        <w:ind w:firstLine="480"/>
        <w:rPr>
          <w:sz w:val="24"/>
        </w:rPr>
      </w:pPr>
      <w:r>
        <w:rPr>
          <w:rFonts w:hint="eastAsia"/>
          <w:sz w:val="24"/>
        </w:rPr>
        <w:t>5、我公司响应文件中的重要内容没有失实或弄虚作假。</w:t>
      </w:r>
    </w:p>
    <w:p w14:paraId="7AC822B3">
      <w:pPr>
        <w:widowControl/>
        <w:spacing w:line="360" w:lineRule="auto"/>
        <w:ind w:firstLine="480"/>
        <w:rPr>
          <w:rFonts w:hint="eastAsia" w:ascii="宋体" w:hAnsi="宋体" w:cs="宋体"/>
          <w:sz w:val="24"/>
        </w:rPr>
      </w:pPr>
      <w:r>
        <w:rPr>
          <w:rFonts w:hint="eastAsia"/>
          <w:sz w:val="24"/>
        </w:rPr>
        <w:t>6、</w:t>
      </w:r>
      <w:r>
        <w:rPr>
          <w:rFonts w:hint="eastAsia" w:ascii="宋体" w:hAnsi="宋体" w:cs="宋体"/>
          <w:sz w:val="24"/>
        </w:rPr>
        <w:t>项目负责人未同时在两个或者两个以上单位受聘或者执业（提供承诺书，加盖公章）：</w:t>
      </w:r>
    </w:p>
    <w:p w14:paraId="6AE8304D">
      <w:pPr>
        <w:widowControl/>
        <w:spacing w:line="360" w:lineRule="auto"/>
        <w:ind w:firstLine="480"/>
        <w:rPr>
          <w:rFonts w:hint="eastAsia" w:ascii="宋体" w:hAnsi="宋体" w:cs="宋体"/>
          <w:sz w:val="24"/>
        </w:rPr>
      </w:pPr>
      <w:r>
        <w:rPr>
          <w:rFonts w:hint="eastAsia" w:ascii="宋体" w:hAnsi="宋体" w:cs="宋体"/>
          <w:sz w:val="24"/>
        </w:rPr>
        <w:t>①不得同时在两个及以上单位签订劳动合同或交纳社会保险；</w:t>
      </w:r>
    </w:p>
    <w:p w14:paraId="6891DCCD">
      <w:pPr>
        <w:spacing w:line="360" w:lineRule="auto"/>
        <w:ind w:firstLine="480"/>
        <w:rPr>
          <w:rFonts w:hint="eastAsia" w:ascii="宋体" w:hAnsi="宋体" w:cs="宋体"/>
          <w:sz w:val="24"/>
        </w:rPr>
      </w:pPr>
      <w:r>
        <w:rPr>
          <w:rFonts w:hint="eastAsia" w:ascii="宋体" w:hAnsi="宋体" w:cs="宋体"/>
          <w:sz w:val="24"/>
        </w:rPr>
        <w:t>②不得将本人执（职）业资格证书同时注册在两个及以上单位。</w:t>
      </w:r>
    </w:p>
    <w:p w14:paraId="3ED094CA">
      <w:pPr>
        <w:spacing w:line="360" w:lineRule="auto"/>
        <w:ind w:firstLine="480"/>
        <w:rPr>
          <w:rFonts w:hint="eastAsia" w:ascii="宋体" w:hAnsi="宋体" w:cs="宋体"/>
          <w:sz w:val="24"/>
        </w:rPr>
      </w:pPr>
      <w:r>
        <w:rPr>
          <w:rFonts w:hint="eastAsia" w:ascii="宋体" w:hAnsi="宋体" w:cs="宋体"/>
          <w:sz w:val="24"/>
        </w:rPr>
        <w:t>7、项目负责人无在建工程。</w:t>
      </w:r>
    </w:p>
    <w:p w14:paraId="62E8EDEF">
      <w:pPr>
        <w:spacing w:line="360" w:lineRule="auto"/>
        <w:ind w:firstLine="480"/>
        <w:rPr>
          <w:rFonts w:hint="eastAsia" w:ascii="宋体" w:hAnsi="宋体"/>
          <w:sz w:val="24"/>
        </w:rPr>
      </w:pPr>
      <w:r>
        <w:rPr>
          <w:rFonts w:hint="eastAsia" w:ascii="宋体" w:hAnsi="宋体"/>
          <w:sz w:val="24"/>
        </w:rPr>
        <w:t>若经采购人核实，发现所报内容失实或有任何弄虚作假行为，我公司愿自动放弃此次谈判权利，若因此给此次采购工作带来不良影响，我公司将自愿承担所有责任。</w:t>
      </w:r>
    </w:p>
    <w:p w14:paraId="1CFCE0E3">
      <w:pPr>
        <w:spacing w:line="360" w:lineRule="auto"/>
        <w:ind w:firstLine="480"/>
        <w:jc w:val="right"/>
        <w:rPr>
          <w:rFonts w:hint="eastAsia" w:ascii="宋体" w:hAnsi="宋体"/>
          <w:bCs/>
          <w:sz w:val="24"/>
        </w:rPr>
      </w:pPr>
      <w:r>
        <w:rPr>
          <w:rFonts w:hint="eastAsia" w:ascii="宋体" w:hAnsi="宋体"/>
          <w:bCs/>
          <w:sz w:val="24"/>
        </w:rPr>
        <w:t>竞争性谈判申请人：__________________________（公章）</w:t>
      </w:r>
    </w:p>
    <w:p w14:paraId="2C4C2FFE">
      <w:pPr>
        <w:spacing w:line="360" w:lineRule="auto"/>
        <w:ind w:firstLine="480"/>
        <w:jc w:val="right"/>
        <w:rPr>
          <w:rFonts w:hint="eastAsia" w:ascii="宋体" w:hAnsi="宋体"/>
          <w:bCs/>
          <w:sz w:val="24"/>
        </w:rPr>
      </w:pPr>
    </w:p>
    <w:p w14:paraId="01DA00B7">
      <w:pPr>
        <w:spacing w:line="360" w:lineRule="auto"/>
        <w:ind w:firstLine="480"/>
        <w:jc w:val="right"/>
        <w:rPr>
          <w:rFonts w:hint="eastAsia" w:ascii="宋体" w:hAnsi="宋体"/>
          <w:bCs/>
          <w:sz w:val="24"/>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14:paraId="235A0D00">
      <w:pPr>
        <w:spacing w:line="360" w:lineRule="auto"/>
        <w:ind w:firstLine="480"/>
        <w:jc w:val="right"/>
        <w:rPr>
          <w:rFonts w:hint="eastAsia" w:ascii="宋体" w:hAnsi="宋体"/>
          <w:bCs/>
          <w:sz w:val="24"/>
        </w:rPr>
      </w:pPr>
    </w:p>
    <w:p w14:paraId="50B18C66">
      <w:pPr>
        <w:spacing w:line="360" w:lineRule="auto"/>
        <w:ind w:firstLine="480"/>
        <w:jc w:val="right"/>
        <w:rPr>
          <w:rFonts w:hint="eastAsia" w:ascii="宋体" w:hAnsi="宋体"/>
          <w:bCs/>
          <w:sz w:val="24"/>
        </w:rPr>
      </w:pPr>
    </w:p>
    <w:p w14:paraId="4663F5E7">
      <w:pPr>
        <w:jc w:val="center"/>
        <w:rPr>
          <w:b/>
          <w:sz w:val="28"/>
        </w:rPr>
      </w:pPr>
      <w:r>
        <w:rPr>
          <w:rFonts w:hint="eastAsia"/>
          <w:b/>
          <w:sz w:val="28"/>
        </w:rPr>
        <w:t>（二）诚信承诺书</w:t>
      </w:r>
    </w:p>
    <w:p w14:paraId="03DD7863">
      <w:pPr>
        <w:pStyle w:val="12"/>
        <w:spacing w:line="360" w:lineRule="auto"/>
        <w:ind w:firstLine="120"/>
        <w:rPr>
          <w:rFonts w:ascii="Times New Roman" w:eastAsia="宋体"/>
          <w:sz w:val="24"/>
          <w:szCs w:val="24"/>
        </w:rPr>
      </w:pPr>
      <w:r>
        <w:rPr>
          <w:rFonts w:hint="eastAsia" w:ascii="Times New Roman" w:eastAsia="宋体"/>
          <w:sz w:val="24"/>
          <w:szCs w:val="24"/>
          <w:u w:val="single"/>
        </w:rPr>
        <w:t xml:space="preserve">(采购人名称) </w:t>
      </w:r>
      <w:r>
        <w:rPr>
          <w:rFonts w:hint="eastAsia" w:ascii="Times New Roman" w:eastAsia="宋体"/>
          <w:sz w:val="24"/>
          <w:szCs w:val="24"/>
        </w:rPr>
        <w:t>:</w:t>
      </w:r>
    </w:p>
    <w:p w14:paraId="62601CCB">
      <w:pPr>
        <w:pStyle w:val="12"/>
        <w:spacing w:line="360" w:lineRule="auto"/>
        <w:rPr>
          <w:rFonts w:ascii="Times New Roman" w:eastAsia="宋体"/>
          <w:sz w:val="24"/>
          <w:szCs w:val="24"/>
        </w:rPr>
      </w:pPr>
      <w:r>
        <w:rPr>
          <w:rFonts w:hint="eastAsia" w:ascii="Times New Roman" w:eastAsia="宋体"/>
          <w:sz w:val="24"/>
          <w:szCs w:val="24"/>
        </w:rPr>
        <w:t>我公司参加</w:t>
      </w:r>
      <w:r>
        <w:rPr>
          <w:rFonts w:hint="eastAsia" w:ascii="Times New Roman" w:eastAsia="宋体"/>
          <w:sz w:val="24"/>
          <w:szCs w:val="24"/>
          <w:u w:val="single"/>
        </w:rPr>
        <w:t>(采购项目名称)</w:t>
      </w:r>
      <w:r>
        <w:rPr>
          <w:rFonts w:hint="eastAsia" w:ascii="Times New Roman" w:eastAsia="宋体"/>
          <w:sz w:val="24"/>
          <w:szCs w:val="24"/>
        </w:rPr>
        <w:t>的采购活动，现郑重承诺如下:</w:t>
      </w:r>
    </w:p>
    <w:p w14:paraId="1C3D85BE">
      <w:pPr>
        <w:pStyle w:val="12"/>
        <w:spacing w:line="360" w:lineRule="auto"/>
        <w:rPr>
          <w:rFonts w:ascii="Times New Roman" w:eastAsia="宋体"/>
          <w:sz w:val="24"/>
          <w:szCs w:val="24"/>
        </w:rPr>
      </w:pPr>
      <w:r>
        <w:rPr>
          <w:rFonts w:hint="eastAsia" w:ascii="Times New Roman" w:eastAsia="宋体"/>
          <w:sz w:val="24"/>
          <w:szCs w:val="24"/>
        </w:rPr>
        <w:t>一、我单位在参加本标段投标选择拟委派的项目负责人时，已核实委派的项目负责人无在建工程并充分确保该信息的准确性。</w:t>
      </w:r>
    </w:p>
    <w:p w14:paraId="7F40965F">
      <w:pPr>
        <w:pStyle w:val="12"/>
        <w:spacing w:line="360" w:lineRule="auto"/>
        <w:rPr>
          <w:rFonts w:ascii="Times New Roman" w:eastAsia="宋体"/>
          <w:sz w:val="24"/>
          <w:szCs w:val="24"/>
        </w:rPr>
      </w:pPr>
      <w:r>
        <w:rPr>
          <w:rFonts w:hint="eastAsia" w:ascii="Times New Roman" w:eastAsia="宋体"/>
          <w:sz w:val="24"/>
          <w:szCs w:val="24"/>
        </w:rPr>
        <w:t>二、如未在己标价工程量清单中填报采购人明确要求的主要厂家品牌产品的，我单位承诺使用采购人提供的品牌，在合同履行过程中进行选择。</w:t>
      </w:r>
    </w:p>
    <w:p w14:paraId="6BD5BE3C">
      <w:pPr>
        <w:pStyle w:val="12"/>
        <w:spacing w:line="360" w:lineRule="auto"/>
        <w:rPr>
          <w:rFonts w:ascii="Times New Roman" w:eastAsia="宋体"/>
          <w:sz w:val="24"/>
          <w:szCs w:val="24"/>
        </w:rPr>
      </w:pPr>
      <w:r>
        <w:rPr>
          <w:rFonts w:hint="eastAsia" w:ascii="Times New Roman" w:eastAsia="宋体"/>
          <w:sz w:val="24"/>
          <w:szCs w:val="24"/>
        </w:rPr>
        <w:t>三、我单位承诺不出借资质(被挂靠)。</w:t>
      </w:r>
    </w:p>
    <w:p w14:paraId="01EFEA3A">
      <w:pPr>
        <w:pStyle w:val="12"/>
        <w:spacing w:line="360" w:lineRule="auto"/>
        <w:rPr>
          <w:rFonts w:ascii="Times New Roman" w:eastAsia="宋体"/>
          <w:sz w:val="24"/>
          <w:szCs w:val="24"/>
        </w:rPr>
      </w:pPr>
      <w:r>
        <w:rPr>
          <w:rFonts w:hint="eastAsia" w:ascii="Times New Roman" w:eastAsia="宋体"/>
          <w:sz w:val="24"/>
          <w:szCs w:val="24"/>
        </w:rPr>
        <w:t>上述承诺事项均为我公司真实意思表达，如有与本承诺内容不符的事实，自愿按有关规定，接受监管部门给予的失信行为公示;如涉及弄虚作假、串通投标、出借资质等违法行为，自愿接受监管部门依法依规给予的处罚。</w:t>
      </w:r>
    </w:p>
    <w:p w14:paraId="6BF9723C">
      <w:pPr>
        <w:pStyle w:val="12"/>
        <w:spacing w:line="360" w:lineRule="auto"/>
        <w:rPr>
          <w:rFonts w:ascii="Times New Roman" w:eastAsia="宋体"/>
          <w:sz w:val="24"/>
          <w:szCs w:val="24"/>
        </w:rPr>
      </w:pPr>
    </w:p>
    <w:p w14:paraId="5BA0465B">
      <w:pPr>
        <w:pStyle w:val="12"/>
        <w:spacing w:line="360" w:lineRule="auto"/>
        <w:rPr>
          <w:rFonts w:ascii="Times New Roman" w:eastAsia="宋体"/>
          <w:sz w:val="24"/>
          <w:szCs w:val="24"/>
        </w:rPr>
      </w:pPr>
      <w:r>
        <w:rPr>
          <w:rFonts w:hint="eastAsia" w:ascii="Times New Roman" w:eastAsia="宋体"/>
          <w:sz w:val="24"/>
          <w:szCs w:val="24"/>
        </w:rPr>
        <w:t>本诚信承诺书经我单位加盖单位公章和法定代表人(或企业法定代表人委托代理人)印章(或签字)后生效。</w:t>
      </w:r>
    </w:p>
    <w:p w14:paraId="2EB80AD2">
      <w:pPr>
        <w:pStyle w:val="12"/>
        <w:spacing w:line="360" w:lineRule="auto"/>
        <w:rPr>
          <w:rFonts w:ascii="Times New Roman" w:eastAsia="宋体"/>
          <w:sz w:val="24"/>
          <w:szCs w:val="24"/>
        </w:rPr>
      </w:pPr>
    </w:p>
    <w:p w14:paraId="6583D422">
      <w:pPr>
        <w:pStyle w:val="12"/>
        <w:spacing w:line="360" w:lineRule="auto"/>
        <w:rPr>
          <w:rFonts w:ascii="Times New Roman" w:eastAsia="宋体"/>
          <w:sz w:val="24"/>
          <w:szCs w:val="24"/>
        </w:rPr>
      </w:pPr>
    </w:p>
    <w:p w14:paraId="0D6DFEE3">
      <w:pPr>
        <w:pStyle w:val="12"/>
        <w:spacing w:line="360" w:lineRule="auto"/>
        <w:rPr>
          <w:rFonts w:ascii="Times New Roman" w:eastAsia="宋体"/>
          <w:sz w:val="24"/>
          <w:szCs w:val="24"/>
        </w:rPr>
      </w:pPr>
    </w:p>
    <w:p w14:paraId="4FD7F878">
      <w:pPr>
        <w:pStyle w:val="12"/>
        <w:spacing w:line="360" w:lineRule="auto"/>
        <w:jc w:val="center"/>
        <w:rPr>
          <w:rFonts w:ascii="Times New Roman" w:eastAsia="宋体"/>
          <w:sz w:val="24"/>
          <w:szCs w:val="24"/>
        </w:rPr>
      </w:pPr>
      <w:r>
        <w:rPr>
          <w:rFonts w:hint="eastAsia" w:ascii="Times New Roman" w:eastAsia="宋体"/>
          <w:sz w:val="24"/>
          <w:szCs w:val="24"/>
        </w:rPr>
        <w:t>供应商：（盖章）</w:t>
      </w:r>
    </w:p>
    <w:p w14:paraId="2B6401AA">
      <w:pPr>
        <w:spacing w:line="360" w:lineRule="auto"/>
        <w:ind w:firstLine="3360" w:firstLineChars="1400"/>
        <w:rPr>
          <w:sz w:val="24"/>
        </w:rPr>
      </w:pPr>
    </w:p>
    <w:p w14:paraId="36A0AA14">
      <w:pPr>
        <w:spacing w:line="360" w:lineRule="auto"/>
        <w:ind w:firstLine="3600" w:firstLineChars="1500"/>
        <w:rPr>
          <w:rFonts w:hint="eastAsia" w:ascii="宋体" w:hAnsi="宋体"/>
          <w:bCs/>
          <w:sz w:val="24"/>
        </w:rPr>
      </w:pPr>
      <w:r>
        <w:rPr>
          <w:rFonts w:hint="eastAsia"/>
          <w:sz w:val="24"/>
        </w:rPr>
        <w:t>日期：</w:t>
      </w:r>
    </w:p>
    <w:p w14:paraId="4CA99A81">
      <w:pPr>
        <w:spacing w:line="360" w:lineRule="auto"/>
        <w:ind w:firstLine="480"/>
        <w:jc w:val="center"/>
        <w:rPr>
          <w:rFonts w:hint="eastAsia" w:ascii="宋体" w:hAnsi="宋体"/>
          <w:bCs/>
          <w:sz w:val="24"/>
        </w:rPr>
      </w:pPr>
    </w:p>
    <w:p w14:paraId="21992D84">
      <w:pPr>
        <w:spacing w:line="360" w:lineRule="auto"/>
        <w:ind w:firstLine="480"/>
        <w:jc w:val="center"/>
        <w:rPr>
          <w:rFonts w:hint="eastAsia" w:ascii="宋体" w:hAnsi="宋体"/>
          <w:bCs/>
          <w:sz w:val="24"/>
        </w:rPr>
      </w:pPr>
    </w:p>
    <w:p w14:paraId="0C73F4F4">
      <w:pPr>
        <w:spacing w:line="360" w:lineRule="auto"/>
        <w:ind w:firstLine="480"/>
        <w:jc w:val="center"/>
        <w:rPr>
          <w:rFonts w:hint="eastAsia" w:ascii="宋体" w:hAnsi="宋体"/>
          <w:bCs/>
          <w:sz w:val="24"/>
        </w:rPr>
      </w:pPr>
    </w:p>
    <w:p w14:paraId="5788D981">
      <w:pPr>
        <w:spacing w:line="360" w:lineRule="auto"/>
        <w:ind w:firstLine="480"/>
        <w:jc w:val="center"/>
        <w:rPr>
          <w:rFonts w:hint="eastAsia" w:ascii="宋体" w:hAnsi="宋体"/>
          <w:bCs/>
          <w:sz w:val="24"/>
        </w:rPr>
      </w:pPr>
    </w:p>
    <w:p w14:paraId="380D11CA">
      <w:pPr>
        <w:spacing w:line="360" w:lineRule="auto"/>
        <w:ind w:firstLine="480"/>
        <w:jc w:val="center"/>
        <w:rPr>
          <w:rFonts w:hint="eastAsia" w:ascii="宋体" w:hAnsi="宋体"/>
          <w:bCs/>
          <w:sz w:val="24"/>
        </w:rPr>
      </w:pPr>
    </w:p>
    <w:p w14:paraId="687049BF">
      <w:pPr>
        <w:spacing w:line="360" w:lineRule="auto"/>
        <w:ind w:firstLine="480"/>
        <w:jc w:val="center"/>
        <w:rPr>
          <w:rFonts w:hint="eastAsia" w:ascii="宋体" w:hAnsi="宋体"/>
          <w:bCs/>
          <w:sz w:val="24"/>
        </w:rPr>
      </w:pPr>
    </w:p>
    <w:p w14:paraId="36CA1CA6">
      <w:pPr>
        <w:spacing w:line="360" w:lineRule="auto"/>
        <w:ind w:firstLine="480"/>
        <w:jc w:val="center"/>
        <w:rPr>
          <w:rFonts w:hint="eastAsia" w:ascii="宋体" w:hAnsi="宋体"/>
          <w:bCs/>
          <w:sz w:val="24"/>
        </w:rPr>
      </w:pPr>
    </w:p>
    <w:p w14:paraId="02B9D43D">
      <w:pPr>
        <w:spacing w:line="360" w:lineRule="auto"/>
        <w:ind w:firstLine="480"/>
        <w:jc w:val="center"/>
        <w:rPr>
          <w:rFonts w:hint="eastAsia" w:ascii="宋体" w:hAnsi="宋体"/>
          <w:bCs/>
          <w:sz w:val="24"/>
        </w:rPr>
      </w:pPr>
    </w:p>
    <w:p w14:paraId="2E0FEA06">
      <w:pPr>
        <w:spacing w:line="360" w:lineRule="auto"/>
        <w:ind w:firstLine="480"/>
        <w:jc w:val="center"/>
        <w:rPr>
          <w:rFonts w:hint="eastAsia" w:ascii="宋体" w:hAnsi="宋体"/>
          <w:bCs/>
          <w:sz w:val="24"/>
        </w:rPr>
      </w:pPr>
    </w:p>
    <w:p w14:paraId="3391B50F">
      <w:pPr>
        <w:spacing w:line="360" w:lineRule="auto"/>
        <w:ind w:firstLine="480"/>
        <w:jc w:val="center"/>
        <w:rPr>
          <w:rFonts w:hint="eastAsia" w:ascii="宋体" w:hAnsi="宋体"/>
          <w:bCs/>
          <w:sz w:val="24"/>
        </w:rPr>
      </w:pPr>
    </w:p>
    <w:p w14:paraId="77DBD8DD">
      <w:pPr>
        <w:jc w:val="center"/>
        <w:rPr>
          <w:b/>
          <w:sz w:val="28"/>
        </w:rPr>
      </w:pPr>
      <w:r>
        <w:rPr>
          <w:rFonts w:hint="eastAsia"/>
          <w:b/>
          <w:sz w:val="28"/>
        </w:rPr>
        <w:t>（三）工期承诺书</w:t>
      </w:r>
    </w:p>
    <w:p w14:paraId="481B7D03">
      <w:pPr>
        <w:pStyle w:val="17"/>
        <w:spacing w:line="360" w:lineRule="auto"/>
        <w:rPr>
          <w:sz w:val="24"/>
          <w:szCs w:val="24"/>
        </w:rPr>
      </w:pPr>
      <w:r>
        <w:rPr>
          <w:rFonts w:hint="eastAsia"/>
          <w:sz w:val="24"/>
          <w:szCs w:val="24"/>
          <w:u w:val="single"/>
        </w:rPr>
        <w:t>(采购人名称)</w:t>
      </w:r>
      <w:r>
        <w:rPr>
          <w:rFonts w:hint="eastAsia"/>
          <w:sz w:val="24"/>
          <w:szCs w:val="24"/>
        </w:rPr>
        <w:t>：</w:t>
      </w:r>
    </w:p>
    <w:p w14:paraId="6197B720">
      <w:pPr>
        <w:pStyle w:val="17"/>
        <w:spacing w:line="360" w:lineRule="auto"/>
        <w:ind w:firstLine="480"/>
        <w:rPr>
          <w:sz w:val="24"/>
          <w:szCs w:val="24"/>
        </w:rPr>
      </w:pPr>
      <w:r>
        <w:rPr>
          <w:rFonts w:hint="eastAsia"/>
          <w:sz w:val="24"/>
          <w:szCs w:val="24"/>
        </w:rPr>
        <w:t>我公司承诺，对</w:t>
      </w:r>
      <w:r>
        <w:rPr>
          <w:rFonts w:hint="eastAsia"/>
          <w:sz w:val="24"/>
          <w:szCs w:val="24"/>
          <w:u w:val="single"/>
        </w:rPr>
        <w:t>(采购项目名称)</w:t>
      </w:r>
      <w:r>
        <w:rPr>
          <w:rFonts w:hint="eastAsia"/>
          <w:sz w:val="24"/>
          <w:szCs w:val="24"/>
        </w:rPr>
        <w:t>需求及服务要求完全响应，完成谈判文件、工程量清单及图纸中的全部工作。</w:t>
      </w:r>
    </w:p>
    <w:p w14:paraId="14593B11">
      <w:pPr>
        <w:pStyle w:val="17"/>
        <w:spacing w:line="360" w:lineRule="auto"/>
        <w:ind w:firstLine="480"/>
        <w:rPr>
          <w:sz w:val="24"/>
          <w:szCs w:val="24"/>
        </w:rPr>
      </w:pPr>
      <w:r>
        <w:rPr>
          <w:rFonts w:hint="eastAsia"/>
          <w:sz w:val="24"/>
          <w:szCs w:val="24"/>
        </w:rPr>
        <w:t>若我公司被确定为成交供应商，我公司承诺：</w:t>
      </w:r>
      <w:r>
        <w:rPr>
          <w:sz w:val="24"/>
          <w:szCs w:val="24"/>
        </w:rPr>
        <w:t xml:space="preserve"> </w:t>
      </w:r>
    </w:p>
    <w:p w14:paraId="3E3BB8FE">
      <w:pPr>
        <w:pStyle w:val="17"/>
        <w:spacing w:line="360" w:lineRule="auto"/>
        <w:ind w:firstLine="480"/>
        <w:rPr>
          <w:sz w:val="24"/>
          <w:szCs w:val="24"/>
        </w:rPr>
      </w:pPr>
    </w:p>
    <w:p w14:paraId="1434BC7F">
      <w:pPr>
        <w:pStyle w:val="12"/>
        <w:spacing w:line="360" w:lineRule="auto"/>
        <w:jc w:val="right"/>
        <w:rPr>
          <w:rFonts w:ascii="Times New Roman" w:eastAsia="宋体"/>
          <w:sz w:val="24"/>
          <w:szCs w:val="24"/>
        </w:rPr>
      </w:pPr>
    </w:p>
    <w:p w14:paraId="46300DE8">
      <w:pPr>
        <w:pStyle w:val="12"/>
        <w:spacing w:line="360" w:lineRule="auto"/>
        <w:jc w:val="right"/>
        <w:rPr>
          <w:rFonts w:ascii="Times New Roman" w:eastAsia="宋体"/>
          <w:sz w:val="24"/>
          <w:szCs w:val="24"/>
        </w:rPr>
      </w:pPr>
      <w:r>
        <w:rPr>
          <w:rFonts w:hint="eastAsia" w:ascii="Times New Roman" w:eastAsia="宋体"/>
          <w:sz w:val="24"/>
          <w:szCs w:val="24"/>
        </w:rPr>
        <w:t xml:space="preserve">谈判（响应）供应商（全称并盖章）：         </w:t>
      </w:r>
    </w:p>
    <w:p w14:paraId="3C9258D8">
      <w:pPr>
        <w:pStyle w:val="12"/>
        <w:spacing w:line="360" w:lineRule="auto"/>
        <w:jc w:val="right"/>
        <w:rPr>
          <w:rFonts w:ascii="Times New Roman" w:eastAsia="宋体"/>
          <w:sz w:val="24"/>
          <w:szCs w:val="24"/>
        </w:rPr>
      </w:pPr>
      <w:r>
        <w:rPr>
          <w:rFonts w:hint="eastAsia" w:ascii="Times New Roman" w:eastAsia="宋体"/>
          <w:sz w:val="24"/>
          <w:szCs w:val="24"/>
        </w:rPr>
        <w:t xml:space="preserve">      </w:t>
      </w:r>
    </w:p>
    <w:p w14:paraId="55672EF5">
      <w:pPr>
        <w:pStyle w:val="12"/>
        <w:spacing w:line="360" w:lineRule="auto"/>
        <w:jc w:val="right"/>
        <w:rPr>
          <w:rFonts w:ascii="Times New Roman" w:eastAsia="宋体"/>
          <w:sz w:val="24"/>
          <w:szCs w:val="24"/>
        </w:rPr>
      </w:pPr>
      <w:r>
        <w:rPr>
          <w:rFonts w:hint="eastAsia" w:ascii="Times New Roman" w:eastAsia="宋体"/>
          <w:sz w:val="24"/>
          <w:szCs w:val="24"/>
        </w:rPr>
        <w:t xml:space="preserve">日期：           </w:t>
      </w:r>
    </w:p>
    <w:p w14:paraId="72815AB2">
      <w:pPr>
        <w:spacing w:line="360" w:lineRule="auto"/>
        <w:ind w:firstLine="480"/>
        <w:jc w:val="center"/>
        <w:rPr>
          <w:rFonts w:hint="eastAsia" w:ascii="宋体" w:hAnsi="宋体"/>
          <w:bCs/>
          <w:sz w:val="24"/>
        </w:rPr>
      </w:pPr>
    </w:p>
    <w:p w14:paraId="67815BDE">
      <w:pPr>
        <w:spacing w:line="360" w:lineRule="auto"/>
        <w:ind w:firstLine="480"/>
        <w:jc w:val="center"/>
        <w:rPr>
          <w:rFonts w:hint="eastAsia" w:ascii="宋体" w:hAnsi="宋体"/>
          <w:bCs/>
          <w:sz w:val="24"/>
        </w:rPr>
      </w:pPr>
    </w:p>
    <w:p w14:paraId="68AE4191">
      <w:pPr>
        <w:spacing w:line="360" w:lineRule="auto"/>
        <w:ind w:firstLine="480"/>
        <w:jc w:val="center"/>
        <w:rPr>
          <w:rFonts w:hint="eastAsia" w:ascii="宋体" w:hAnsi="宋体"/>
          <w:bCs/>
          <w:sz w:val="24"/>
        </w:rPr>
      </w:pPr>
    </w:p>
    <w:p w14:paraId="0016436D">
      <w:pPr>
        <w:spacing w:line="360" w:lineRule="auto"/>
        <w:ind w:firstLine="480"/>
        <w:jc w:val="center"/>
        <w:rPr>
          <w:rFonts w:hint="eastAsia" w:ascii="宋体" w:hAnsi="宋体"/>
          <w:bCs/>
          <w:sz w:val="24"/>
        </w:rPr>
      </w:pPr>
    </w:p>
    <w:p w14:paraId="712567B7">
      <w:pPr>
        <w:spacing w:line="360" w:lineRule="auto"/>
        <w:ind w:firstLine="480"/>
        <w:jc w:val="center"/>
        <w:rPr>
          <w:rFonts w:hint="eastAsia" w:ascii="宋体" w:hAnsi="宋体"/>
          <w:bCs/>
          <w:sz w:val="24"/>
        </w:rPr>
      </w:pPr>
    </w:p>
    <w:p w14:paraId="4308BD62">
      <w:pPr>
        <w:spacing w:line="360" w:lineRule="auto"/>
        <w:ind w:firstLine="480"/>
        <w:jc w:val="center"/>
        <w:rPr>
          <w:rFonts w:hint="eastAsia" w:ascii="宋体" w:hAnsi="宋体"/>
          <w:bCs/>
          <w:sz w:val="24"/>
        </w:rPr>
      </w:pPr>
    </w:p>
    <w:p w14:paraId="4156416D">
      <w:pPr>
        <w:spacing w:line="360" w:lineRule="auto"/>
        <w:ind w:firstLine="480"/>
        <w:jc w:val="center"/>
        <w:rPr>
          <w:rFonts w:hint="eastAsia" w:ascii="宋体" w:hAnsi="宋体"/>
          <w:bCs/>
          <w:sz w:val="24"/>
        </w:rPr>
      </w:pPr>
    </w:p>
    <w:p w14:paraId="2518D0DC">
      <w:pPr>
        <w:spacing w:line="360" w:lineRule="auto"/>
        <w:ind w:firstLine="480"/>
        <w:jc w:val="center"/>
        <w:rPr>
          <w:rFonts w:hint="eastAsia" w:ascii="宋体" w:hAnsi="宋体"/>
          <w:bCs/>
          <w:sz w:val="24"/>
        </w:rPr>
      </w:pPr>
    </w:p>
    <w:p w14:paraId="44114EBB">
      <w:pPr>
        <w:spacing w:line="360" w:lineRule="auto"/>
        <w:ind w:firstLine="480"/>
        <w:jc w:val="center"/>
        <w:rPr>
          <w:rFonts w:hint="eastAsia" w:ascii="宋体" w:hAnsi="宋体"/>
          <w:bCs/>
          <w:sz w:val="24"/>
        </w:rPr>
      </w:pPr>
    </w:p>
    <w:p w14:paraId="6706285C">
      <w:pPr>
        <w:spacing w:line="360" w:lineRule="auto"/>
        <w:ind w:firstLine="480"/>
        <w:jc w:val="center"/>
        <w:rPr>
          <w:rFonts w:hint="eastAsia" w:ascii="宋体" w:hAnsi="宋体"/>
          <w:bCs/>
          <w:sz w:val="24"/>
        </w:rPr>
      </w:pPr>
    </w:p>
    <w:p w14:paraId="724735C0">
      <w:pPr>
        <w:spacing w:line="360" w:lineRule="auto"/>
        <w:ind w:firstLine="480"/>
        <w:jc w:val="center"/>
        <w:rPr>
          <w:rFonts w:hint="eastAsia" w:ascii="宋体" w:hAnsi="宋体"/>
          <w:bCs/>
          <w:sz w:val="24"/>
        </w:rPr>
      </w:pPr>
    </w:p>
    <w:p w14:paraId="30E5E8E8">
      <w:pPr>
        <w:spacing w:line="360" w:lineRule="auto"/>
        <w:ind w:firstLine="480"/>
        <w:jc w:val="center"/>
        <w:rPr>
          <w:rFonts w:hint="eastAsia" w:ascii="宋体" w:hAnsi="宋体"/>
          <w:bCs/>
          <w:sz w:val="24"/>
        </w:rPr>
      </w:pPr>
    </w:p>
    <w:p w14:paraId="7F24E452">
      <w:pPr>
        <w:spacing w:line="360" w:lineRule="auto"/>
        <w:ind w:firstLine="480"/>
        <w:jc w:val="center"/>
        <w:rPr>
          <w:rFonts w:hint="eastAsia" w:ascii="宋体" w:hAnsi="宋体"/>
          <w:bCs/>
          <w:sz w:val="24"/>
        </w:rPr>
      </w:pPr>
    </w:p>
    <w:p w14:paraId="4558080A">
      <w:pPr>
        <w:spacing w:line="360" w:lineRule="auto"/>
        <w:ind w:firstLine="480"/>
        <w:jc w:val="center"/>
        <w:rPr>
          <w:rFonts w:hint="eastAsia" w:ascii="宋体" w:hAnsi="宋体"/>
          <w:bCs/>
          <w:sz w:val="24"/>
        </w:rPr>
      </w:pPr>
    </w:p>
    <w:p w14:paraId="5D3930FC">
      <w:pPr>
        <w:spacing w:line="360" w:lineRule="auto"/>
        <w:ind w:firstLine="480"/>
        <w:jc w:val="center"/>
        <w:rPr>
          <w:rFonts w:hint="eastAsia" w:ascii="宋体" w:hAnsi="宋体"/>
          <w:bCs/>
          <w:sz w:val="24"/>
        </w:rPr>
      </w:pPr>
    </w:p>
    <w:p w14:paraId="76192D14">
      <w:pPr>
        <w:spacing w:line="360" w:lineRule="auto"/>
        <w:ind w:firstLine="480"/>
        <w:jc w:val="center"/>
        <w:rPr>
          <w:rFonts w:hint="eastAsia" w:ascii="宋体" w:hAnsi="宋体"/>
          <w:bCs/>
          <w:sz w:val="24"/>
        </w:rPr>
      </w:pPr>
    </w:p>
    <w:p w14:paraId="3EE349EF">
      <w:pPr>
        <w:spacing w:line="360" w:lineRule="auto"/>
        <w:ind w:firstLine="480"/>
        <w:jc w:val="center"/>
        <w:rPr>
          <w:rFonts w:hint="eastAsia" w:ascii="宋体" w:hAnsi="宋体"/>
          <w:bCs/>
          <w:sz w:val="24"/>
        </w:rPr>
      </w:pPr>
    </w:p>
    <w:p w14:paraId="30981E6E">
      <w:pPr>
        <w:spacing w:line="360" w:lineRule="auto"/>
        <w:ind w:firstLine="480"/>
        <w:jc w:val="center"/>
        <w:rPr>
          <w:rFonts w:hint="eastAsia" w:ascii="宋体" w:hAnsi="宋体"/>
          <w:bCs/>
          <w:sz w:val="24"/>
        </w:rPr>
      </w:pPr>
    </w:p>
    <w:p w14:paraId="56D43C2C">
      <w:pPr>
        <w:spacing w:line="360" w:lineRule="auto"/>
        <w:ind w:firstLine="480"/>
        <w:jc w:val="center"/>
        <w:rPr>
          <w:rFonts w:hint="eastAsia" w:ascii="宋体" w:hAnsi="宋体"/>
          <w:bCs/>
          <w:sz w:val="24"/>
        </w:rPr>
      </w:pPr>
    </w:p>
    <w:p w14:paraId="27155880">
      <w:pPr>
        <w:spacing w:line="360" w:lineRule="auto"/>
        <w:ind w:firstLine="480"/>
        <w:jc w:val="center"/>
        <w:rPr>
          <w:rFonts w:hint="eastAsia" w:ascii="宋体" w:hAnsi="宋体"/>
          <w:bCs/>
          <w:sz w:val="24"/>
        </w:rPr>
      </w:pPr>
    </w:p>
    <w:p w14:paraId="78F0EB48">
      <w:pPr>
        <w:spacing w:line="360" w:lineRule="auto"/>
        <w:rPr>
          <w:rFonts w:hint="eastAsia" w:ascii="宋体" w:hAnsi="宋体"/>
          <w:bCs/>
          <w:sz w:val="24"/>
        </w:rPr>
      </w:pPr>
    </w:p>
    <w:p w14:paraId="4D7F1F9E">
      <w:pPr>
        <w:jc w:val="center"/>
        <w:rPr>
          <w:b/>
          <w:sz w:val="28"/>
        </w:rPr>
      </w:pPr>
      <w:r>
        <w:rPr>
          <w:rFonts w:hint="eastAsia"/>
          <w:b/>
          <w:sz w:val="28"/>
        </w:rPr>
        <w:t>（四）竞争性谈判申请人基本情况表</w:t>
      </w:r>
    </w:p>
    <w:p w14:paraId="20ECD0FC">
      <w:pPr>
        <w:spacing w:line="460" w:lineRule="exact"/>
        <w:rPr>
          <w:rFonts w:hint="eastAsia" w:ascii="宋体" w:hAnsi="宋体"/>
          <w:b/>
          <w:bCs/>
          <w:sz w:val="28"/>
        </w:rPr>
      </w:pPr>
      <w:r>
        <w:rPr>
          <w:rFonts w:hint="eastAsia" w:ascii="宋体" w:hAnsi="宋体"/>
          <w:bCs/>
          <w:sz w:val="24"/>
        </w:rPr>
        <w:t>申请人单位名称：</w:t>
      </w:r>
      <w:r>
        <w:rPr>
          <w:rFonts w:hint="eastAsia" w:ascii="宋体" w:hAnsi="宋体"/>
          <w:bCs/>
          <w:sz w:val="24"/>
          <w:u w:val="single"/>
        </w:rPr>
        <w:t xml:space="preser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2813"/>
        <w:gridCol w:w="713"/>
        <w:gridCol w:w="1585"/>
        <w:gridCol w:w="713"/>
        <w:gridCol w:w="1869"/>
      </w:tblGrid>
      <w:tr w14:paraId="2381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21" w:type="dxa"/>
            <w:vAlign w:val="center"/>
          </w:tcPr>
          <w:p w14:paraId="381A0C32">
            <w:pPr>
              <w:spacing w:line="460" w:lineRule="exact"/>
              <w:jc w:val="center"/>
              <w:rPr>
                <w:rFonts w:hint="eastAsia" w:ascii="宋体" w:hAnsi="宋体"/>
                <w:sz w:val="24"/>
              </w:rPr>
            </w:pPr>
            <w:r>
              <w:rPr>
                <w:rFonts w:hint="eastAsia" w:ascii="宋体" w:hAnsi="宋体"/>
                <w:sz w:val="24"/>
              </w:rPr>
              <w:t>公司名称</w:t>
            </w:r>
          </w:p>
        </w:tc>
        <w:tc>
          <w:tcPr>
            <w:tcW w:w="2813" w:type="dxa"/>
            <w:vAlign w:val="center"/>
          </w:tcPr>
          <w:p w14:paraId="5A5299ED">
            <w:pPr>
              <w:spacing w:line="460" w:lineRule="exact"/>
              <w:jc w:val="center"/>
              <w:rPr>
                <w:rFonts w:hint="eastAsia" w:ascii="宋体" w:hAnsi="宋体"/>
                <w:b/>
                <w:sz w:val="24"/>
              </w:rPr>
            </w:pPr>
          </w:p>
        </w:tc>
        <w:tc>
          <w:tcPr>
            <w:tcW w:w="2298" w:type="dxa"/>
            <w:gridSpan w:val="2"/>
            <w:vAlign w:val="center"/>
          </w:tcPr>
          <w:p w14:paraId="2DE8090B">
            <w:pPr>
              <w:spacing w:line="460" w:lineRule="exact"/>
              <w:jc w:val="center"/>
              <w:rPr>
                <w:rFonts w:hint="eastAsia" w:ascii="宋体" w:hAnsi="宋体"/>
                <w:sz w:val="24"/>
              </w:rPr>
            </w:pPr>
            <w:r>
              <w:rPr>
                <w:rFonts w:hint="eastAsia" w:ascii="宋体" w:hAnsi="宋体"/>
                <w:sz w:val="24"/>
              </w:rPr>
              <w:t>负责人</w:t>
            </w:r>
          </w:p>
        </w:tc>
        <w:tc>
          <w:tcPr>
            <w:tcW w:w="2582" w:type="dxa"/>
            <w:gridSpan w:val="2"/>
            <w:vAlign w:val="center"/>
          </w:tcPr>
          <w:p w14:paraId="39AFACB5">
            <w:pPr>
              <w:spacing w:line="460" w:lineRule="exact"/>
              <w:jc w:val="center"/>
              <w:rPr>
                <w:rFonts w:hint="eastAsia" w:ascii="宋体" w:hAnsi="宋体"/>
                <w:sz w:val="24"/>
              </w:rPr>
            </w:pPr>
          </w:p>
        </w:tc>
      </w:tr>
      <w:tr w14:paraId="18FF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vAlign w:val="center"/>
          </w:tcPr>
          <w:p w14:paraId="3A40E61B">
            <w:pPr>
              <w:spacing w:line="460" w:lineRule="exact"/>
              <w:jc w:val="center"/>
              <w:rPr>
                <w:rFonts w:hint="eastAsia" w:ascii="宋体" w:hAnsi="宋体"/>
                <w:sz w:val="24"/>
              </w:rPr>
            </w:pPr>
            <w:r>
              <w:rPr>
                <w:rFonts w:hint="eastAsia" w:ascii="宋体" w:hAnsi="宋体"/>
                <w:sz w:val="24"/>
              </w:rPr>
              <w:t>注册地址</w:t>
            </w:r>
          </w:p>
        </w:tc>
        <w:tc>
          <w:tcPr>
            <w:tcW w:w="2813" w:type="dxa"/>
            <w:vAlign w:val="center"/>
          </w:tcPr>
          <w:p w14:paraId="66C8627D">
            <w:pPr>
              <w:spacing w:line="460" w:lineRule="exact"/>
              <w:jc w:val="center"/>
              <w:rPr>
                <w:rFonts w:hint="eastAsia" w:ascii="宋体" w:hAnsi="宋体"/>
                <w:b/>
                <w:sz w:val="24"/>
              </w:rPr>
            </w:pPr>
          </w:p>
        </w:tc>
        <w:tc>
          <w:tcPr>
            <w:tcW w:w="2298" w:type="dxa"/>
            <w:gridSpan w:val="2"/>
            <w:vAlign w:val="center"/>
          </w:tcPr>
          <w:p w14:paraId="30773698">
            <w:pPr>
              <w:spacing w:line="460" w:lineRule="exact"/>
              <w:jc w:val="center"/>
              <w:rPr>
                <w:rFonts w:hint="eastAsia" w:ascii="宋体" w:hAnsi="宋体"/>
                <w:sz w:val="24"/>
              </w:rPr>
            </w:pPr>
            <w:r>
              <w:rPr>
                <w:rFonts w:hint="eastAsia" w:ascii="宋体" w:hAnsi="宋体"/>
                <w:sz w:val="24"/>
              </w:rPr>
              <w:t>邮政编码</w:t>
            </w:r>
          </w:p>
        </w:tc>
        <w:tc>
          <w:tcPr>
            <w:tcW w:w="2582" w:type="dxa"/>
            <w:gridSpan w:val="2"/>
            <w:vAlign w:val="center"/>
          </w:tcPr>
          <w:p w14:paraId="68762F3F">
            <w:pPr>
              <w:spacing w:line="460" w:lineRule="exact"/>
              <w:jc w:val="center"/>
              <w:rPr>
                <w:rFonts w:hint="eastAsia" w:ascii="宋体" w:hAnsi="宋体"/>
                <w:sz w:val="24"/>
              </w:rPr>
            </w:pPr>
          </w:p>
        </w:tc>
      </w:tr>
      <w:tr w14:paraId="0E42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21" w:type="dxa"/>
            <w:vAlign w:val="center"/>
          </w:tcPr>
          <w:p w14:paraId="1A61DBB9">
            <w:pPr>
              <w:spacing w:line="460" w:lineRule="exact"/>
              <w:jc w:val="center"/>
              <w:rPr>
                <w:rFonts w:hint="eastAsia" w:ascii="宋体" w:hAnsi="宋体"/>
                <w:sz w:val="24"/>
              </w:rPr>
            </w:pPr>
            <w:r>
              <w:rPr>
                <w:rFonts w:hint="eastAsia" w:ascii="宋体" w:hAnsi="宋体"/>
                <w:sz w:val="24"/>
              </w:rPr>
              <w:t>成立时间</w:t>
            </w:r>
          </w:p>
        </w:tc>
        <w:tc>
          <w:tcPr>
            <w:tcW w:w="2813" w:type="dxa"/>
            <w:vAlign w:val="center"/>
          </w:tcPr>
          <w:p w14:paraId="3737141C">
            <w:pPr>
              <w:spacing w:line="460" w:lineRule="exact"/>
              <w:jc w:val="center"/>
              <w:rPr>
                <w:rFonts w:hint="eastAsia" w:ascii="宋体" w:hAnsi="宋体"/>
                <w:b/>
                <w:sz w:val="24"/>
              </w:rPr>
            </w:pPr>
          </w:p>
        </w:tc>
        <w:tc>
          <w:tcPr>
            <w:tcW w:w="713" w:type="dxa"/>
            <w:vAlign w:val="center"/>
          </w:tcPr>
          <w:p w14:paraId="570B5016">
            <w:pPr>
              <w:spacing w:line="460" w:lineRule="exact"/>
              <w:jc w:val="center"/>
              <w:rPr>
                <w:rFonts w:hint="eastAsia" w:ascii="宋体" w:hAnsi="宋体"/>
                <w:sz w:val="24"/>
              </w:rPr>
            </w:pPr>
            <w:r>
              <w:rPr>
                <w:rFonts w:hint="eastAsia" w:ascii="宋体" w:hAnsi="宋体"/>
                <w:sz w:val="24"/>
              </w:rPr>
              <w:t>电话</w:t>
            </w:r>
          </w:p>
        </w:tc>
        <w:tc>
          <w:tcPr>
            <w:tcW w:w="1585" w:type="dxa"/>
            <w:vAlign w:val="center"/>
          </w:tcPr>
          <w:p w14:paraId="680C34A1">
            <w:pPr>
              <w:spacing w:line="460" w:lineRule="exact"/>
              <w:jc w:val="center"/>
              <w:rPr>
                <w:rFonts w:hint="eastAsia" w:ascii="宋体" w:hAnsi="宋体"/>
                <w:sz w:val="24"/>
              </w:rPr>
            </w:pPr>
          </w:p>
        </w:tc>
        <w:tc>
          <w:tcPr>
            <w:tcW w:w="713" w:type="dxa"/>
            <w:vAlign w:val="center"/>
          </w:tcPr>
          <w:p w14:paraId="374C001F">
            <w:pPr>
              <w:spacing w:line="460" w:lineRule="exact"/>
              <w:jc w:val="center"/>
              <w:rPr>
                <w:rFonts w:hint="eastAsia" w:ascii="宋体" w:hAnsi="宋体"/>
                <w:sz w:val="24"/>
              </w:rPr>
            </w:pPr>
            <w:r>
              <w:rPr>
                <w:rFonts w:hint="eastAsia" w:ascii="宋体" w:hAnsi="宋体"/>
                <w:sz w:val="24"/>
              </w:rPr>
              <w:t>传真</w:t>
            </w:r>
          </w:p>
        </w:tc>
        <w:tc>
          <w:tcPr>
            <w:tcW w:w="1869" w:type="dxa"/>
            <w:vAlign w:val="center"/>
          </w:tcPr>
          <w:p w14:paraId="79AD73DC">
            <w:pPr>
              <w:spacing w:line="460" w:lineRule="exact"/>
              <w:jc w:val="center"/>
              <w:rPr>
                <w:rFonts w:hint="eastAsia" w:ascii="宋体" w:hAnsi="宋体"/>
                <w:sz w:val="24"/>
              </w:rPr>
            </w:pPr>
          </w:p>
        </w:tc>
      </w:tr>
      <w:tr w14:paraId="2762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521" w:type="dxa"/>
            <w:vAlign w:val="center"/>
          </w:tcPr>
          <w:p w14:paraId="2F077EB1">
            <w:pPr>
              <w:spacing w:line="460" w:lineRule="exact"/>
              <w:jc w:val="center"/>
              <w:rPr>
                <w:rFonts w:hint="eastAsia" w:ascii="宋体" w:hAnsi="宋体"/>
                <w:sz w:val="24"/>
              </w:rPr>
            </w:pPr>
            <w:r>
              <w:rPr>
                <w:rFonts w:hint="eastAsia" w:ascii="宋体" w:hAnsi="宋体"/>
                <w:sz w:val="24"/>
              </w:rPr>
              <w:t>企业资质</w:t>
            </w:r>
          </w:p>
        </w:tc>
        <w:tc>
          <w:tcPr>
            <w:tcW w:w="2813" w:type="dxa"/>
            <w:vAlign w:val="center"/>
          </w:tcPr>
          <w:p w14:paraId="4D9408B1">
            <w:pPr>
              <w:spacing w:line="460" w:lineRule="exact"/>
              <w:jc w:val="center"/>
              <w:rPr>
                <w:rFonts w:hint="eastAsia" w:ascii="宋体" w:hAnsi="宋体"/>
                <w:b/>
                <w:sz w:val="24"/>
              </w:rPr>
            </w:pPr>
          </w:p>
        </w:tc>
        <w:tc>
          <w:tcPr>
            <w:tcW w:w="2298" w:type="dxa"/>
            <w:gridSpan w:val="2"/>
            <w:vAlign w:val="center"/>
          </w:tcPr>
          <w:p w14:paraId="431E5793">
            <w:pPr>
              <w:spacing w:line="460" w:lineRule="exact"/>
              <w:jc w:val="center"/>
              <w:rPr>
                <w:rFonts w:hint="eastAsia" w:ascii="宋体" w:hAnsi="宋体"/>
                <w:sz w:val="24"/>
              </w:rPr>
            </w:pPr>
            <w:r>
              <w:rPr>
                <w:rFonts w:hint="eastAsia" w:ascii="宋体" w:hAnsi="宋体"/>
                <w:sz w:val="24"/>
              </w:rPr>
              <w:t>组织机构代码</w:t>
            </w:r>
          </w:p>
        </w:tc>
        <w:tc>
          <w:tcPr>
            <w:tcW w:w="2582" w:type="dxa"/>
            <w:gridSpan w:val="2"/>
            <w:vAlign w:val="center"/>
          </w:tcPr>
          <w:p w14:paraId="7E12841B">
            <w:pPr>
              <w:spacing w:line="460" w:lineRule="exact"/>
              <w:jc w:val="center"/>
              <w:rPr>
                <w:rFonts w:hint="eastAsia" w:ascii="宋体" w:hAnsi="宋体"/>
                <w:sz w:val="24"/>
              </w:rPr>
            </w:pPr>
          </w:p>
        </w:tc>
      </w:tr>
      <w:tr w14:paraId="1A67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21" w:type="dxa"/>
            <w:vAlign w:val="center"/>
          </w:tcPr>
          <w:p w14:paraId="1B354E27">
            <w:pPr>
              <w:spacing w:line="460" w:lineRule="exact"/>
              <w:jc w:val="center"/>
              <w:rPr>
                <w:rFonts w:hint="eastAsia" w:ascii="宋体" w:hAnsi="宋体"/>
                <w:sz w:val="24"/>
              </w:rPr>
            </w:pPr>
            <w:r>
              <w:rPr>
                <w:rFonts w:hint="eastAsia" w:ascii="宋体" w:hAnsi="宋体"/>
                <w:sz w:val="24"/>
              </w:rPr>
              <w:t>职工人数</w:t>
            </w:r>
          </w:p>
        </w:tc>
        <w:tc>
          <w:tcPr>
            <w:tcW w:w="7693" w:type="dxa"/>
            <w:gridSpan w:val="5"/>
            <w:vAlign w:val="center"/>
          </w:tcPr>
          <w:p w14:paraId="6703DDF8">
            <w:pPr>
              <w:spacing w:line="460" w:lineRule="exact"/>
              <w:jc w:val="center"/>
              <w:rPr>
                <w:rFonts w:hint="eastAsia" w:ascii="宋体" w:hAnsi="宋体"/>
                <w:b/>
                <w:sz w:val="24"/>
              </w:rPr>
            </w:pPr>
          </w:p>
        </w:tc>
      </w:tr>
      <w:tr w14:paraId="7D3C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521" w:type="dxa"/>
            <w:vAlign w:val="center"/>
          </w:tcPr>
          <w:p w14:paraId="0D1843C9">
            <w:pPr>
              <w:spacing w:line="460" w:lineRule="exact"/>
              <w:jc w:val="center"/>
              <w:rPr>
                <w:rFonts w:hint="eastAsia" w:ascii="宋体" w:hAnsi="宋体"/>
                <w:sz w:val="24"/>
              </w:rPr>
            </w:pPr>
            <w:r>
              <w:rPr>
                <w:rFonts w:hint="eastAsia" w:ascii="宋体" w:hAnsi="宋体"/>
                <w:sz w:val="24"/>
              </w:rPr>
              <w:t>本项目</w:t>
            </w:r>
          </w:p>
          <w:p w14:paraId="76ED31E2">
            <w:pPr>
              <w:spacing w:line="460" w:lineRule="exact"/>
              <w:jc w:val="center"/>
              <w:rPr>
                <w:rFonts w:hint="eastAsia" w:ascii="宋体" w:hAnsi="宋体"/>
                <w:sz w:val="24"/>
              </w:rPr>
            </w:pPr>
            <w:r>
              <w:rPr>
                <w:rFonts w:hint="eastAsia" w:ascii="宋体" w:hAnsi="宋体"/>
                <w:sz w:val="24"/>
              </w:rPr>
              <w:t>联系人手机</w:t>
            </w:r>
          </w:p>
        </w:tc>
        <w:tc>
          <w:tcPr>
            <w:tcW w:w="7693" w:type="dxa"/>
            <w:gridSpan w:val="5"/>
            <w:vAlign w:val="center"/>
          </w:tcPr>
          <w:p w14:paraId="049FB054">
            <w:pPr>
              <w:spacing w:line="460" w:lineRule="exact"/>
              <w:jc w:val="center"/>
              <w:rPr>
                <w:rFonts w:hint="eastAsia" w:ascii="宋体" w:hAnsi="宋体"/>
                <w:b/>
                <w:sz w:val="24"/>
              </w:rPr>
            </w:pPr>
          </w:p>
        </w:tc>
      </w:tr>
      <w:tr w14:paraId="0090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1521" w:type="dxa"/>
            <w:vAlign w:val="center"/>
          </w:tcPr>
          <w:p w14:paraId="0A501989">
            <w:pPr>
              <w:spacing w:line="460" w:lineRule="exact"/>
              <w:jc w:val="center"/>
              <w:rPr>
                <w:rFonts w:hint="eastAsia" w:ascii="宋体" w:hAnsi="宋体"/>
                <w:sz w:val="24"/>
              </w:rPr>
            </w:pPr>
            <w:r>
              <w:rPr>
                <w:rFonts w:hint="eastAsia" w:ascii="宋体" w:hAnsi="宋体"/>
                <w:sz w:val="24"/>
              </w:rPr>
              <w:t>公司主要</w:t>
            </w:r>
          </w:p>
          <w:p w14:paraId="3DF055A4">
            <w:pPr>
              <w:spacing w:line="460" w:lineRule="exact"/>
              <w:jc w:val="center"/>
              <w:rPr>
                <w:rFonts w:hint="eastAsia" w:ascii="宋体" w:hAnsi="宋体"/>
                <w:sz w:val="24"/>
              </w:rPr>
            </w:pPr>
            <w:r>
              <w:rPr>
                <w:rFonts w:hint="eastAsia" w:ascii="宋体" w:hAnsi="宋体"/>
                <w:sz w:val="24"/>
              </w:rPr>
              <w:t>业务综述</w:t>
            </w:r>
          </w:p>
        </w:tc>
        <w:tc>
          <w:tcPr>
            <w:tcW w:w="7693" w:type="dxa"/>
            <w:gridSpan w:val="5"/>
            <w:vAlign w:val="center"/>
          </w:tcPr>
          <w:p w14:paraId="4812493F">
            <w:pPr>
              <w:spacing w:line="460" w:lineRule="exact"/>
              <w:jc w:val="center"/>
              <w:rPr>
                <w:rFonts w:hint="eastAsia" w:ascii="宋体" w:hAnsi="宋体"/>
                <w:b/>
                <w:sz w:val="24"/>
              </w:rPr>
            </w:pPr>
          </w:p>
        </w:tc>
      </w:tr>
      <w:tr w14:paraId="5268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6" w:hRule="atLeast"/>
        </w:trPr>
        <w:tc>
          <w:tcPr>
            <w:tcW w:w="9214" w:type="dxa"/>
            <w:gridSpan w:val="6"/>
          </w:tcPr>
          <w:p w14:paraId="4FF3936E">
            <w:pPr>
              <w:spacing w:line="460" w:lineRule="exact"/>
              <w:rPr>
                <w:rFonts w:hint="eastAsia" w:ascii="宋体" w:hAnsi="宋体"/>
                <w:b/>
                <w:sz w:val="24"/>
              </w:rPr>
            </w:pPr>
          </w:p>
          <w:p w14:paraId="4E6BBDB3">
            <w:pPr>
              <w:spacing w:line="460" w:lineRule="exact"/>
              <w:rPr>
                <w:rFonts w:hint="eastAsia" w:ascii="宋体" w:hAnsi="宋体"/>
                <w:b/>
                <w:sz w:val="24"/>
              </w:rPr>
            </w:pPr>
            <w:r>
              <w:rPr>
                <w:rFonts w:hint="eastAsia" w:ascii="宋体" w:hAnsi="宋体"/>
                <w:b/>
                <w:sz w:val="24"/>
              </w:rPr>
              <w:t>组织机构框架图</w:t>
            </w:r>
          </w:p>
          <w:p w14:paraId="1659600F">
            <w:pPr>
              <w:spacing w:line="460" w:lineRule="exact"/>
              <w:rPr>
                <w:rFonts w:hint="eastAsia" w:ascii="宋体" w:hAnsi="宋体"/>
                <w:b/>
                <w:sz w:val="24"/>
              </w:rPr>
            </w:pPr>
          </w:p>
          <w:p w14:paraId="7DC6E5BA">
            <w:pPr>
              <w:spacing w:line="460" w:lineRule="exact"/>
              <w:rPr>
                <w:rFonts w:hint="eastAsia" w:ascii="宋体" w:hAnsi="宋体"/>
                <w:b/>
                <w:sz w:val="24"/>
              </w:rPr>
            </w:pPr>
            <w:r>
              <w:rPr>
                <w:rFonts w:hint="eastAsia" w:ascii="宋体" w:hAnsi="宋体"/>
                <w:b/>
                <w:sz w:val="24"/>
              </w:rPr>
              <w:t>（包括结构、领导成员、主要技术人员及数量等情况）</w:t>
            </w:r>
          </w:p>
        </w:tc>
      </w:tr>
    </w:tbl>
    <w:p w14:paraId="7F85F495">
      <w:pPr>
        <w:rPr>
          <w:rFonts w:hint="eastAsia" w:ascii="宋体" w:hAnsi="宋体"/>
          <w:sz w:val="24"/>
        </w:rPr>
      </w:pPr>
    </w:p>
    <w:p w14:paraId="510504FE">
      <w:pPr>
        <w:rPr>
          <w:rFonts w:hint="eastAsia" w:ascii="宋体" w:hAnsi="宋体"/>
          <w:sz w:val="24"/>
        </w:rPr>
      </w:pPr>
      <w:r>
        <w:rPr>
          <w:rFonts w:hint="eastAsia" w:ascii="宋体" w:hAnsi="宋体"/>
          <w:sz w:val="24"/>
        </w:rPr>
        <w:t>注：后按谈判文件要求，附营业执照及相关证明材料。</w:t>
      </w:r>
    </w:p>
    <w:p w14:paraId="489D70B2">
      <w:pPr>
        <w:rPr>
          <w:rFonts w:hint="eastAsia" w:ascii="宋体" w:hAnsi="宋体"/>
          <w:sz w:val="24"/>
        </w:rPr>
      </w:pPr>
    </w:p>
    <w:p w14:paraId="5AF93022">
      <w:pPr>
        <w:spacing w:line="460" w:lineRule="exact"/>
        <w:ind w:firstLine="480"/>
        <w:jc w:val="right"/>
        <w:rPr>
          <w:rFonts w:hint="eastAsia" w:ascii="宋体" w:hAnsi="宋体"/>
          <w:bCs/>
          <w:sz w:val="24"/>
        </w:rPr>
      </w:pPr>
      <w:r>
        <w:rPr>
          <w:rFonts w:hint="eastAsia" w:ascii="宋体" w:hAnsi="宋体"/>
          <w:bCs/>
          <w:sz w:val="24"/>
        </w:rPr>
        <w:t>竞争性谈判申请人：__________________________（公章）</w:t>
      </w:r>
    </w:p>
    <w:p w14:paraId="24B86F88">
      <w:pPr>
        <w:spacing w:line="460" w:lineRule="exact"/>
        <w:ind w:firstLine="480"/>
        <w:jc w:val="right"/>
        <w:rPr>
          <w:rFonts w:hint="eastAsia" w:ascii="宋体" w:hAnsi="宋体"/>
          <w:bCs/>
          <w:sz w:val="24"/>
        </w:rPr>
      </w:pPr>
    </w:p>
    <w:p w14:paraId="529B6C74">
      <w:pPr>
        <w:spacing w:line="460" w:lineRule="exact"/>
        <w:ind w:firstLine="480"/>
        <w:jc w:val="right"/>
        <w:rPr>
          <w:rFonts w:hint="eastAsia" w:ascii="宋体" w:hAnsi="宋体"/>
          <w:bCs/>
          <w:sz w:val="24"/>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14:paraId="2F9C72E3">
      <w:pPr>
        <w:pStyle w:val="276"/>
        <w:ind w:firstLine="0"/>
        <w:jc w:val="center"/>
        <w:rPr>
          <w:rFonts w:hint="eastAsia"/>
          <w:b/>
          <w:sz w:val="28"/>
        </w:rPr>
      </w:pPr>
    </w:p>
    <w:p w14:paraId="1FF032A7">
      <w:pPr>
        <w:pStyle w:val="276"/>
        <w:ind w:firstLine="0"/>
        <w:rPr>
          <w:rFonts w:hint="eastAsia"/>
          <w:b/>
          <w:sz w:val="28"/>
        </w:rPr>
      </w:pPr>
    </w:p>
    <w:p w14:paraId="5CD3EF62">
      <w:pPr>
        <w:pStyle w:val="276"/>
        <w:ind w:firstLine="0"/>
        <w:jc w:val="center"/>
        <w:rPr>
          <w:rFonts w:hint="eastAsia"/>
          <w:b/>
          <w:sz w:val="28"/>
        </w:rPr>
      </w:pPr>
      <w:r>
        <w:rPr>
          <w:rFonts w:hint="eastAsia"/>
          <w:b/>
          <w:sz w:val="28"/>
        </w:rPr>
        <w:t>（五）项目负责人简历表</w:t>
      </w:r>
    </w:p>
    <w:tbl>
      <w:tblPr>
        <w:tblStyle w:val="45"/>
        <w:tblW w:w="8758" w:type="dxa"/>
        <w:jc w:val="center"/>
        <w:tblLayout w:type="fixed"/>
        <w:tblCellMar>
          <w:top w:w="0" w:type="dxa"/>
          <w:left w:w="0" w:type="dxa"/>
          <w:bottom w:w="0" w:type="dxa"/>
          <w:right w:w="0" w:type="dxa"/>
        </w:tblCellMar>
      </w:tblPr>
      <w:tblGrid>
        <w:gridCol w:w="510"/>
        <w:gridCol w:w="850"/>
        <w:gridCol w:w="1985"/>
        <w:gridCol w:w="1134"/>
        <w:gridCol w:w="425"/>
        <w:gridCol w:w="851"/>
        <w:gridCol w:w="567"/>
        <w:gridCol w:w="992"/>
        <w:gridCol w:w="567"/>
        <w:gridCol w:w="877"/>
      </w:tblGrid>
      <w:tr w14:paraId="5568A1E8">
        <w:tblPrEx>
          <w:tblCellMar>
            <w:top w:w="0" w:type="dxa"/>
            <w:left w:w="0" w:type="dxa"/>
            <w:bottom w:w="0" w:type="dxa"/>
            <w:right w:w="0" w:type="dxa"/>
          </w:tblCellMar>
        </w:tblPrEx>
        <w:trPr>
          <w:trHeight w:val="825" w:hRule="atLeast"/>
          <w:jc w:val="center"/>
        </w:trPr>
        <w:tc>
          <w:tcPr>
            <w:tcW w:w="1360" w:type="dxa"/>
            <w:gridSpan w:val="2"/>
            <w:tcBorders>
              <w:top w:val="single" w:color="auto" w:sz="6" w:space="0"/>
              <w:left w:val="single" w:color="auto" w:sz="6" w:space="0"/>
              <w:bottom w:val="single" w:color="auto" w:sz="6" w:space="0"/>
              <w:right w:val="single" w:color="auto" w:sz="6" w:space="0"/>
            </w:tcBorders>
            <w:vAlign w:val="center"/>
          </w:tcPr>
          <w:p w14:paraId="49935DB7">
            <w:pPr>
              <w:spacing w:line="300" w:lineRule="auto"/>
              <w:jc w:val="center"/>
              <w:rPr>
                <w:rFonts w:hint="eastAsia" w:ascii="宋体" w:hAnsi="宋体"/>
                <w:bCs/>
                <w:sz w:val="24"/>
                <w:lang w:val="zh-CN"/>
              </w:rPr>
            </w:pPr>
            <w:r>
              <w:rPr>
                <w:rFonts w:hint="eastAsia" w:ascii="宋体" w:hAnsi="宋体"/>
                <w:bCs/>
                <w:sz w:val="24"/>
                <w:lang w:val="zh-CN"/>
              </w:rPr>
              <w:t>姓名</w:t>
            </w:r>
          </w:p>
        </w:tc>
        <w:tc>
          <w:tcPr>
            <w:tcW w:w="1985" w:type="dxa"/>
            <w:tcBorders>
              <w:top w:val="single" w:color="auto" w:sz="6" w:space="0"/>
              <w:left w:val="single" w:color="auto" w:sz="6" w:space="0"/>
              <w:bottom w:val="single" w:color="auto" w:sz="6" w:space="0"/>
              <w:right w:val="single" w:color="auto" w:sz="6" w:space="0"/>
            </w:tcBorders>
            <w:vAlign w:val="center"/>
          </w:tcPr>
          <w:p w14:paraId="357F0A86">
            <w:pPr>
              <w:spacing w:line="300" w:lineRule="auto"/>
              <w:jc w:val="center"/>
              <w:rPr>
                <w:rFonts w:hint="eastAsia" w:ascii="宋体" w:hAnsi="宋体"/>
                <w:bCs/>
                <w:sz w:val="24"/>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14:paraId="65C396BC">
            <w:pPr>
              <w:spacing w:line="300" w:lineRule="auto"/>
              <w:jc w:val="center"/>
              <w:rPr>
                <w:rFonts w:hint="eastAsia" w:ascii="宋体" w:hAnsi="宋体"/>
                <w:bCs/>
                <w:sz w:val="24"/>
                <w:lang w:val="zh-CN"/>
              </w:rPr>
            </w:pPr>
            <w:r>
              <w:rPr>
                <w:rFonts w:hint="eastAsia" w:ascii="宋体" w:hAnsi="宋体"/>
                <w:bCs/>
                <w:sz w:val="24"/>
                <w:lang w:val="zh-CN"/>
              </w:rPr>
              <w:t>性别</w:t>
            </w:r>
          </w:p>
        </w:tc>
        <w:tc>
          <w:tcPr>
            <w:tcW w:w="1843" w:type="dxa"/>
            <w:gridSpan w:val="3"/>
            <w:tcBorders>
              <w:top w:val="single" w:color="auto" w:sz="6" w:space="0"/>
              <w:left w:val="single" w:color="auto" w:sz="6" w:space="0"/>
              <w:bottom w:val="single" w:color="auto" w:sz="6" w:space="0"/>
              <w:right w:val="single" w:color="auto" w:sz="6" w:space="0"/>
            </w:tcBorders>
            <w:vAlign w:val="center"/>
          </w:tcPr>
          <w:p w14:paraId="1B7AA542">
            <w:pPr>
              <w:spacing w:line="300" w:lineRule="auto"/>
              <w:jc w:val="center"/>
              <w:rPr>
                <w:rFonts w:hint="eastAsia" w:ascii="宋体" w:hAnsi="宋体"/>
                <w:bCs/>
                <w:sz w:val="24"/>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14:paraId="4B228B39">
            <w:pPr>
              <w:spacing w:line="300" w:lineRule="auto"/>
              <w:jc w:val="center"/>
              <w:rPr>
                <w:rFonts w:hint="eastAsia" w:ascii="宋体" w:hAnsi="宋体"/>
                <w:bCs/>
                <w:sz w:val="24"/>
                <w:lang w:val="zh-CN"/>
              </w:rPr>
            </w:pPr>
            <w:r>
              <w:rPr>
                <w:rFonts w:hint="eastAsia" w:ascii="宋体" w:hAnsi="宋体"/>
                <w:bCs/>
                <w:sz w:val="24"/>
                <w:lang w:val="zh-CN"/>
              </w:rPr>
              <w:t>年龄</w:t>
            </w:r>
          </w:p>
        </w:tc>
        <w:tc>
          <w:tcPr>
            <w:tcW w:w="1444" w:type="dxa"/>
            <w:gridSpan w:val="2"/>
            <w:tcBorders>
              <w:top w:val="single" w:color="auto" w:sz="6" w:space="0"/>
              <w:left w:val="single" w:color="auto" w:sz="6" w:space="0"/>
              <w:bottom w:val="single" w:color="auto" w:sz="6" w:space="0"/>
              <w:right w:val="single" w:color="auto" w:sz="6" w:space="0"/>
            </w:tcBorders>
            <w:vAlign w:val="center"/>
          </w:tcPr>
          <w:p w14:paraId="0743F708">
            <w:pPr>
              <w:spacing w:line="300" w:lineRule="auto"/>
              <w:jc w:val="center"/>
              <w:rPr>
                <w:rFonts w:hint="eastAsia" w:ascii="宋体" w:hAnsi="宋体"/>
                <w:bCs/>
                <w:sz w:val="24"/>
              </w:rPr>
            </w:pPr>
          </w:p>
        </w:tc>
      </w:tr>
      <w:tr w14:paraId="07531D01">
        <w:tblPrEx>
          <w:tblCellMar>
            <w:top w:w="0" w:type="dxa"/>
            <w:left w:w="0" w:type="dxa"/>
            <w:bottom w:w="0" w:type="dxa"/>
            <w:right w:w="0" w:type="dxa"/>
          </w:tblCellMar>
        </w:tblPrEx>
        <w:trPr>
          <w:trHeight w:val="747" w:hRule="atLeast"/>
          <w:jc w:val="center"/>
        </w:trPr>
        <w:tc>
          <w:tcPr>
            <w:tcW w:w="1360" w:type="dxa"/>
            <w:gridSpan w:val="2"/>
            <w:tcBorders>
              <w:top w:val="single" w:color="auto" w:sz="6" w:space="0"/>
              <w:left w:val="single" w:color="auto" w:sz="6" w:space="0"/>
              <w:bottom w:val="single" w:color="auto" w:sz="6" w:space="0"/>
              <w:right w:val="single" w:color="auto" w:sz="6" w:space="0"/>
            </w:tcBorders>
            <w:vAlign w:val="center"/>
          </w:tcPr>
          <w:p w14:paraId="2A181D5F">
            <w:pPr>
              <w:spacing w:line="300" w:lineRule="auto"/>
              <w:jc w:val="center"/>
              <w:rPr>
                <w:rFonts w:hint="eastAsia" w:ascii="宋体" w:hAnsi="宋体"/>
                <w:bCs/>
                <w:sz w:val="24"/>
                <w:lang w:val="zh-CN"/>
              </w:rPr>
            </w:pPr>
            <w:r>
              <w:rPr>
                <w:rFonts w:hint="eastAsia" w:ascii="宋体" w:hAnsi="宋体"/>
                <w:bCs/>
                <w:sz w:val="24"/>
                <w:lang w:val="zh-CN"/>
              </w:rPr>
              <w:t>职务</w:t>
            </w:r>
          </w:p>
        </w:tc>
        <w:tc>
          <w:tcPr>
            <w:tcW w:w="1985" w:type="dxa"/>
            <w:tcBorders>
              <w:top w:val="single" w:color="auto" w:sz="6" w:space="0"/>
              <w:left w:val="single" w:color="auto" w:sz="6" w:space="0"/>
              <w:bottom w:val="single" w:color="auto" w:sz="6" w:space="0"/>
              <w:right w:val="single" w:color="auto" w:sz="6" w:space="0"/>
            </w:tcBorders>
            <w:vAlign w:val="center"/>
          </w:tcPr>
          <w:p w14:paraId="7A2B820D">
            <w:pPr>
              <w:spacing w:line="300" w:lineRule="auto"/>
              <w:jc w:val="center"/>
              <w:rPr>
                <w:rFonts w:hint="eastAsia" w:ascii="宋体" w:hAnsi="宋体"/>
                <w:bCs/>
                <w:sz w:val="24"/>
                <w:lang w:val="zh-CN"/>
              </w:rPr>
            </w:pPr>
          </w:p>
        </w:tc>
        <w:tc>
          <w:tcPr>
            <w:tcW w:w="1134" w:type="dxa"/>
            <w:tcBorders>
              <w:top w:val="single" w:color="auto" w:sz="6" w:space="0"/>
              <w:left w:val="single" w:color="auto" w:sz="6" w:space="0"/>
              <w:bottom w:val="single" w:color="auto" w:sz="6" w:space="0"/>
              <w:right w:val="single" w:color="auto" w:sz="6" w:space="0"/>
            </w:tcBorders>
            <w:vAlign w:val="center"/>
          </w:tcPr>
          <w:p w14:paraId="722923EE">
            <w:pPr>
              <w:spacing w:line="300" w:lineRule="auto"/>
              <w:jc w:val="center"/>
              <w:rPr>
                <w:rFonts w:hint="eastAsia" w:ascii="宋体" w:hAnsi="宋体"/>
                <w:bCs/>
                <w:sz w:val="24"/>
                <w:lang w:val="zh-CN"/>
              </w:rPr>
            </w:pPr>
            <w:r>
              <w:rPr>
                <w:rFonts w:hint="eastAsia" w:ascii="宋体" w:hAnsi="宋体"/>
                <w:bCs/>
                <w:sz w:val="24"/>
                <w:lang w:val="zh-CN"/>
              </w:rPr>
              <w:t>职称</w:t>
            </w:r>
          </w:p>
        </w:tc>
        <w:tc>
          <w:tcPr>
            <w:tcW w:w="1843" w:type="dxa"/>
            <w:gridSpan w:val="3"/>
            <w:tcBorders>
              <w:top w:val="single" w:color="auto" w:sz="6" w:space="0"/>
              <w:left w:val="single" w:color="auto" w:sz="6" w:space="0"/>
              <w:bottom w:val="single" w:color="auto" w:sz="6" w:space="0"/>
              <w:right w:val="single" w:color="auto" w:sz="6" w:space="0"/>
            </w:tcBorders>
            <w:vAlign w:val="center"/>
          </w:tcPr>
          <w:p w14:paraId="2F54615D">
            <w:pPr>
              <w:spacing w:line="300" w:lineRule="auto"/>
              <w:jc w:val="center"/>
              <w:rPr>
                <w:rFonts w:hint="eastAsia" w:ascii="宋体" w:hAnsi="宋体"/>
                <w:bCs/>
                <w:sz w:val="24"/>
                <w:lang w:val="zh-CN"/>
              </w:rPr>
            </w:pPr>
          </w:p>
        </w:tc>
        <w:tc>
          <w:tcPr>
            <w:tcW w:w="992" w:type="dxa"/>
            <w:tcBorders>
              <w:top w:val="single" w:color="auto" w:sz="6" w:space="0"/>
              <w:left w:val="single" w:color="auto" w:sz="6" w:space="0"/>
              <w:bottom w:val="single" w:color="auto" w:sz="6" w:space="0"/>
              <w:right w:val="single" w:color="auto" w:sz="6" w:space="0"/>
            </w:tcBorders>
            <w:vAlign w:val="center"/>
          </w:tcPr>
          <w:p w14:paraId="53280905">
            <w:pPr>
              <w:spacing w:line="300" w:lineRule="auto"/>
              <w:jc w:val="center"/>
              <w:rPr>
                <w:rFonts w:hint="eastAsia" w:ascii="宋体" w:hAnsi="宋体"/>
                <w:bCs/>
                <w:sz w:val="24"/>
                <w:lang w:val="zh-CN"/>
              </w:rPr>
            </w:pPr>
            <w:r>
              <w:rPr>
                <w:rFonts w:hint="eastAsia" w:ascii="宋体" w:hAnsi="宋体"/>
                <w:bCs/>
                <w:sz w:val="24"/>
                <w:lang w:val="zh-CN"/>
              </w:rPr>
              <w:t>学历</w:t>
            </w:r>
          </w:p>
        </w:tc>
        <w:tc>
          <w:tcPr>
            <w:tcW w:w="1444" w:type="dxa"/>
            <w:gridSpan w:val="2"/>
            <w:tcBorders>
              <w:top w:val="single" w:color="auto" w:sz="6" w:space="0"/>
              <w:left w:val="single" w:color="auto" w:sz="6" w:space="0"/>
              <w:bottom w:val="single" w:color="auto" w:sz="6" w:space="0"/>
              <w:right w:val="single" w:color="auto" w:sz="6" w:space="0"/>
            </w:tcBorders>
            <w:vAlign w:val="center"/>
          </w:tcPr>
          <w:p w14:paraId="41EEF5A9">
            <w:pPr>
              <w:spacing w:line="300" w:lineRule="auto"/>
              <w:jc w:val="center"/>
              <w:rPr>
                <w:rFonts w:hint="eastAsia" w:ascii="宋体" w:hAnsi="宋体"/>
                <w:bCs/>
                <w:sz w:val="24"/>
                <w:lang w:val="zh-CN"/>
              </w:rPr>
            </w:pPr>
          </w:p>
        </w:tc>
      </w:tr>
      <w:tr w14:paraId="5839B625">
        <w:tblPrEx>
          <w:tblCellMar>
            <w:top w:w="0" w:type="dxa"/>
            <w:left w:w="0" w:type="dxa"/>
            <w:bottom w:w="0" w:type="dxa"/>
            <w:right w:w="0" w:type="dxa"/>
          </w:tblCellMar>
        </w:tblPrEx>
        <w:trPr>
          <w:trHeight w:val="825" w:hRule="atLeast"/>
          <w:jc w:val="center"/>
        </w:trPr>
        <w:tc>
          <w:tcPr>
            <w:tcW w:w="1360" w:type="dxa"/>
            <w:gridSpan w:val="2"/>
            <w:tcBorders>
              <w:top w:val="single" w:color="auto" w:sz="6" w:space="0"/>
              <w:left w:val="single" w:color="auto" w:sz="6" w:space="0"/>
              <w:bottom w:val="single" w:color="auto" w:sz="6" w:space="0"/>
              <w:right w:val="single" w:color="auto" w:sz="6" w:space="0"/>
            </w:tcBorders>
            <w:vAlign w:val="center"/>
          </w:tcPr>
          <w:p w14:paraId="1A8C6337">
            <w:pPr>
              <w:spacing w:line="300" w:lineRule="auto"/>
              <w:jc w:val="center"/>
              <w:rPr>
                <w:rFonts w:hint="eastAsia" w:ascii="宋体" w:hAnsi="宋体"/>
                <w:bCs/>
                <w:sz w:val="24"/>
                <w:lang w:val="zh-CN"/>
              </w:rPr>
            </w:pPr>
            <w:r>
              <w:rPr>
                <w:rFonts w:hint="eastAsia" w:ascii="宋体" w:hAnsi="宋体"/>
                <w:bCs/>
                <w:sz w:val="24"/>
                <w:lang w:val="zh-CN"/>
              </w:rPr>
              <w:t>从业年限</w:t>
            </w:r>
          </w:p>
        </w:tc>
        <w:tc>
          <w:tcPr>
            <w:tcW w:w="1985" w:type="dxa"/>
            <w:tcBorders>
              <w:top w:val="single" w:color="auto" w:sz="6" w:space="0"/>
              <w:left w:val="single" w:color="auto" w:sz="6" w:space="0"/>
              <w:bottom w:val="single" w:color="auto" w:sz="6" w:space="0"/>
              <w:right w:val="single" w:color="auto" w:sz="6" w:space="0"/>
            </w:tcBorders>
            <w:vAlign w:val="center"/>
          </w:tcPr>
          <w:p w14:paraId="16C70322">
            <w:pPr>
              <w:spacing w:line="300" w:lineRule="auto"/>
              <w:jc w:val="center"/>
              <w:rPr>
                <w:rFonts w:hint="eastAsia" w:ascii="宋体" w:hAnsi="宋体"/>
                <w:bCs/>
                <w:sz w:val="24"/>
                <w:lang w:val="zh-CN"/>
              </w:rPr>
            </w:pPr>
          </w:p>
        </w:tc>
        <w:tc>
          <w:tcPr>
            <w:tcW w:w="2410" w:type="dxa"/>
            <w:gridSpan w:val="3"/>
            <w:tcBorders>
              <w:top w:val="single" w:color="auto" w:sz="6" w:space="0"/>
              <w:left w:val="single" w:color="auto" w:sz="6" w:space="0"/>
              <w:bottom w:val="single" w:color="auto" w:sz="6" w:space="0"/>
              <w:right w:val="single" w:color="auto" w:sz="6" w:space="0"/>
            </w:tcBorders>
            <w:vAlign w:val="center"/>
          </w:tcPr>
          <w:p w14:paraId="6BCFF422">
            <w:pPr>
              <w:spacing w:line="300" w:lineRule="auto"/>
              <w:jc w:val="center"/>
              <w:rPr>
                <w:rFonts w:hint="eastAsia" w:ascii="宋体" w:hAnsi="宋体"/>
                <w:bCs/>
                <w:sz w:val="24"/>
                <w:lang w:val="zh-CN"/>
              </w:rPr>
            </w:pPr>
            <w:r>
              <w:rPr>
                <w:rFonts w:hint="eastAsia" w:ascii="宋体" w:hAnsi="宋体"/>
                <w:bCs/>
                <w:sz w:val="24"/>
                <w:lang w:val="zh-CN"/>
              </w:rPr>
              <w:t>所学专业</w:t>
            </w:r>
          </w:p>
        </w:tc>
        <w:tc>
          <w:tcPr>
            <w:tcW w:w="3003" w:type="dxa"/>
            <w:gridSpan w:val="4"/>
            <w:tcBorders>
              <w:top w:val="single" w:color="auto" w:sz="6" w:space="0"/>
              <w:left w:val="single" w:color="auto" w:sz="6" w:space="0"/>
              <w:bottom w:val="single" w:color="auto" w:sz="6" w:space="0"/>
              <w:right w:val="single" w:color="auto" w:sz="6" w:space="0"/>
            </w:tcBorders>
            <w:vAlign w:val="center"/>
          </w:tcPr>
          <w:p w14:paraId="23D5B2D1">
            <w:pPr>
              <w:spacing w:line="300" w:lineRule="auto"/>
              <w:jc w:val="center"/>
              <w:rPr>
                <w:rFonts w:hint="eastAsia" w:ascii="宋体" w:hAnsi="宋体"/>
                <w:bCs/>
                <w:sz w:val="24"/>
                <w:lang w:val="zh-CN"/>
              </w:rPr>
            </w:pPr>
          </w:p>
        </w:tc>
      </w:tr>
      <w:tr w14:paraId="3A8880F1">
        <w:tblPrEx>
          <w:tblCellMar>
            <w:top w:w="0" w:type="dxa"/>
            <w:left w:w="0" w:type="dxa"/>
            <w:bottom w:w="0" w:type="dxa"/>
            <w:right w:w="0" w:type="dxa"/>
          </w:tblCellMar>
        </w:tblPrEx>
        <w:trPr>
          <w:trHeight w:val="825" w:hRule="atLeast"/>
          <w:jc w:val="center"/>
        </w:trPr>
        <w:tc>
          <w:tcPr>
            <w:tcW w:w="1360" w:type="dxa"/>
            <w:gridSpan w:val="2"/>
            <w:tcBorders>
              <w:top w:val="single" w:color="auto" w:sz="6" w:space="0"/>
              <w:left w:val="single" w:color="auto" w:sz="6" w:space="0"/>
              <w:bottom w:val="single" w:color="auto" w:sz="6" w:space="0"/>
              <w:right w:val="single" w:color="auto" w:sz="6" w:space="0"/>
            </w:tcBorders>
            <w:vAlign w:val="center"/>
          </w:tcPr>
          <w:p w14:paraId="390D8874">
            <w:pPr>
              <w:spacing w:line="300" w:lineRule="auto"/>
              <w:jc w:val="center"/>
              <w:rPr>
                <w:rFonts w:hint="eastAsia" w:ascii="宋体" w:hAnsi="宋体"/>
                <w:bCs/>
                <w:sz w:val="24"/>
                <w:lang w:val="zh-CN"/>
              </w:rPr>
            </w:pPr>
            <w:r>
              <w:rPr>
                <w:rFonts w:hint="eastAsia" w:ascii="宋体" w:hAnsi="宋体"/>
                <w:bCs/>
                <w:sz w:val="24"/>
                <w:lang w:val="zh-CN"/>
              </w:rPr>
              <w:t>建造师证书</w:t>
            </w:r>
          </w:p>
        </w:tc>
        <w:tc>
          <w:tcPr>
            <w:tcW w:w="1985" w:type="dxa"/>
            <w:tcBorders>
              <w:top w:val="single" w:color="auto" w:sz="6" w:space="0"/>
              <w:left w:val="single" w:color="auto" w:sz="6" w:space="0"/>
              <w:bottom w:val="single" w:color="auto" w:sz="6" w:space="0"/>
              <w:right w:val="single" w:color="auto" w:sz="6" w:space="0"/>
            </w:tcBorders>
            <w:vAlign w:val="center"/>
          </w:tcPr>
          <w:p w14:paraId="573889E7">
            <w:pPr>
              <w:spacing w:line="300" w:lineRule="auto"/>
              <w:jc w:val="center"/>
              <w:rPr>
                <w:rFonts w:hint="eastAsia" w:ascii="宋体" w:hAnsi="宋体"/>
                <w:bCs/>
                <w:sz w:val="24"/>
                <w:lang w:val="zh-CN"/>
              </w:rPr>
            </w:pPr>
          </w:p>
        </w:tc>
        <w:tc>
          <w:tcPr>
            <w:tcW w:w="2410" w:type="dxa"/>
            <w:gridSpan w:val="3"/>
            <w:tcBorders>
              <w:top w:val="single" w:color="auto" w:sz="6" w:space="0"/>
              <w:left w:val="single" w:color="auto" w:sz="6" w:space="0"/>
              <w:bottom w:val="single" w:color="auto" w:sz="6" w:space="0"/>
              <w:right w:val="single" w:color="auto" w:sz="6" w:space="0"/>
            </w:tcBorders>
            <w:vAlign w:val="center"/>
          </w:tcPr>
          <w:p w14:paraId="2F0F52DD">
            <w:pPr>
              <w:spacing w:line="300" w:lineRule="auto"/>
              <w:jc w:val="center"/>
              <w:rPr>
                <w:rFonts w:hint="eastAsia" w:ascii="宋体" w:hAnsi="宋体"/>
                <w:bCs/>
                <w:sz w:val="24"/>
                <w:lang w:val="zh-CN"/>
              </w:rPr>
            </w:pPr>
            <w:r>
              <w:rPr>
                <w:rFonts w:hint="eastAsia" w:ascii="宋体" w:hAnsi="宋体"/>
                <w:bCs/>
                <w:sz w:val="24"/>
                <w:lang w:val="zh-CN"/>
              </w:rPr>
              <w:t>建造师证书编号</w:t>
            </w:r>
          </w:p>
        </w:tc>
        <w:tc>
          <w:tcPr>
            <w:tcW w:w="3003" w:type="dxa"/>
            <w:gridSpan w:val="4"/>
            <w:tcBorders>
              <w:top w:val="single" w:color="auto" w:sz="6" w:space="0"/>
              <w:left w:val="single" w:color="auto" w:sz="6" w:space="0"/>
              <w:bottom w:val="single" w:color="auto" w:sz="6" w:space="0"/>
              <w:right w:val="single" w:color="auto" w:sz="6" w:space="0"/>
            </w:tcBorders>
            <w:vAlign w:val="center"/>
          </w:tcPr>
          <w:p w14:paraId="79EAA9FE">
            <w:pPr>
              <w:spacing w:line="300" w:lineRule="auto"/>
              <w:jc w:val="center"/>
              <w:rPr>
                <w:rFonts w:hint="eastAsia" w:ascii="宋体" w:hAnsi="宋体"/>
                <w:bCs/>
                <w:sz w:val="24"/>
                <w:lang w:val="zh-CN"/>
              </w:rPr>
            </w:pPr>
          </w:p>
        </w:tc>
      </w:tr>
      <w:tr w14:paraId="1AC8C602">
        <w:tblPrEx>
          <w:tblCellMar>
            <w:top w:w="0" w:type="dxa"/>
            <w:left w:w="0" w:type="dxa"/>
            <w:bottom w:w="0" w:type="dxa"/>
            <w:right w:w="0" w:type="dxa"/>
          </w:tblCellMar>
        </w:tblPrEx>
        <w:trPr>
          <w:trHeight w:val="825" w:hRule="atLeast"/>
          <w:jc w:val="center"/>
        </w:trPr>
        <w:tc>
          <w:tcPr>
            <w:tcW w:w="3345" w:type="dxa"/>
            <w:gridSpan w:val="3"/>
            <w:tcBorders>
              <w:top w:val="single" w:color="auto" w:sz="6" w:space="0"/>
              <w:left w:val="single" w:color="auto" w:sz="6" w:space="0"/>
              <w:bottom w:val="single" w:color="auto" w:sz="6" w:space="0"/>
              <w:right w:val="single" w:color="auto" w:sz="6" w:space="0"/>
            </w:tcBorders>
            <w:vAlign w:val="center"/>
          </w:tcPr>
          <w:p w14:paraId="21C76735">
            <w:pPr>
              <w:spacing w:line="300" w:lineRule="auto"/>
              <w:jc w:val="center"/>
              <w:rPr>
                <w:rFonts w:hint="eastAsia" w:ascii="宋体" w:hAnsi="宋体"/>
                <w:bCs/>
                <w:sz w:val="24"/>
                <w:lang w:val="zh-CN"/>
              </w:rPr>
            </w:pPr>
            <w:r>
              <w:rPr>
                <w:rFonts w:hint="eastAsia" w:ascii="宋体" w:hAnsi="宋体"/>
                <w:bCs/>
                <w:sz w:val="24"/>
                <w:lang w:val="zh-CN"/>
              </w:rPr>
              <w:t>安全生产考核合格证（B类）</w:t>
            </w:r>
          </w:p>
        </w:tc>
        <w:tc>
          <w:tcPr>
            <w:tcW w:w="5413" w:type="dxa"/>
            <w:gridSpan w:val="7"/>
            <w:tcBorders>
              <w:top w:val="single" w:color="auto" w:sz="6" w:space="0"/>
              <w:left w:val="single" w:color="auto" w:sz="6" w:space="0"/>
              <w:bottom w:val="single" w:color="auto" w:sz="6" w:space="0"/>
              <w:right w:val="single" w:color="auto" w:sz="6" w:space="0"/>
            </w:tcBorders>
            <w:vAlign w:val="center"/>
          </w:tcPr>
          <w:p w14:paraId="79CF24EE">
            <w:pPr>
              <w:spacing w:line="300" w:lineRule="auto"/>
              <w:jc w:val="center"/>
              <w:rPr>
                <w:rFonts w:hint="eastAsia" w:ascii="宋体" w:hAnsi="宋体"/>
                <w:bCs/>
                <w:sz w:val="24"/>
                <w:lang w:val="zh-CN"/>
              </w:rPr>
            </w:pPr>
          </w:p>
        </w:tc>
      </w:tr>
      <w:tr w14:paraId="5C032B81">
        <w:tblPrEx>
          <w:tblCellMar>
            <w:top w:w="0" w:type="dxa"/>
            <w:left w:w="0" w:type="dxa"/>
            <w:bottom w:w="0" w:type="dxa"/>
            <w:right w:w="0" w:type="dxa"/>
          </w:tblCellMar>
        </w:tblPrEx>
        <w:trPr>
          <w:trHeight w:val="825" w:hRule="atLeast"/>
          <w:jc w:val="center"/>
        </w:trPr>
        <w:tc>
          <w:tcPr>
            <w:tcW w:w="8758" w:type="dxa"/>
            <w:gridSpan w:val="10"/>
            <w:tcBorders>
              <w:top w:val="single" w:color="auto" w:sz="6" w:space="0"/>
              <w:left w:val="single" w:color="auto" w:sz="6" w:space="0"/>
              <w:bottom w:val="single" w:color="auto" w:sz="6" w:space="0"/>
              <w:right w:val="single" w:color="auto" w:sz="6" w:space="0"/>
            </w:tcBorders>
            <w:vAlign w:val="center"/>
          </w:tcPr>
          <w:p w14:paraId="236104D5">
            <w:pPr>
              <w:spacing w:line="300" w:lineRule="auto"/>
              <w:jc w:val="center"/>
              <w:rPr>
                <w:rFonts w:hint="eastAsia" w:ascii="宋体" w:hAnsi="宋体"/>
                <w:bCs/>
                <w:sz w:val="24"/>
                <w:lang w:val="zh-CN"/>
              </w:rPr>
            </w:pPr>
            <w:r>
              <w:rPr>
                <w:rFonts w:hint="eastAsia" w:ascii="宋体" w:hAnsi="宋体"/>
                <w:bCs/>
                <w:sz w:val="24"/>
                <w:lang w:val="zh-CN"/>
              </w:rPr>
              <w:t>项目负责人业绩</w:t>
            </w:r>
          </w:p>
        </w:tc>
      </w:tr>
      <w:tr w14:paraId="49437918">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vAlign w:val="center"/>
          </w:tcPr>
          <w:p w14:paraId="00A8E2B0">
            <w:pPr>
              <w:spacing w:line="300" w:lineRule="auto"/>
              <w:jc w:val="center"/>
              <w:rPr>
                <w:rFonts w:hint="eastAsia" w:ascii="宋体" w:hAnsi="宋体"/>
                <w:bCs/>
                <w:sz w:val="24"/>
                <w:lang w:val="zh-CN"/>
              </w:rPr>
            </w:pPr>
            <w:r>
              <w:rPr>
                <w:rFonts w:hint="eastAsia" w:ascii="宋体" w:hAnsi="宋体"/>
                <w:bCs/>
                <w:sz w:val="24"/>
                <w:lang w:val="zh-CN"/>
              </w:rPr>
              <w:t>序号</w:t>
            </w:r>
          </w:p>
        </w:tc>
        <w:tc>
          <w:tcPr>
            <w:tcW w:w="2835" w:type="dxa"/>
            <w:gridSpan w:val="2"/>
            <w:tcBorders>
              <w:top w:val="single" w:color="auto" w:sz="6" w:space="0"/>
              <w:left w:val="single" w:color="auto" w:sz="6" w:space="0"/>
              <w:bottom w:val="single" w:color="auto" w:sz="6" w:space="0"/>
              <w:right w:val="single" w:color="auto" w:sz="6" w:space="0"/>
            </w:tcBorders>
            <w:vAlign w:val="center"/>
          </w:tcPr>
          <w:p w14:paraId="6A0D1FD9">
            <w:pPr>
              <w:spacing w:line="300" w:lineRule="auto"/>
              <w:jc w:val="center"/>
              <w:rPr>
                <w:rFonts w:hint="eastAsia" w:ascii="宋体" w:hAnsi="宋体"/>
                <w:bCs/>
                <w:sz w:val="24"/>
                <w:lang w:val="zh-CN"/>
              </w:rPr>
            </w:pPr>
            <w:r>
              <w:rPr>
                <w:rFonts w:hint="eastAsia" w:ascii="宋体" w:hAnsi="宋体"/>
                <w:bCs/>
                <w:sz w:val="24"/>
                <w:lang w:val="zh-CN"/>
              </w:rPr>
              <w:t>项目名称</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148BC497">
            <w:pPr>
              <w:spacing w:line="300" w:lineRule="auto"/>
              <w:jc w:val="center"/>
              <w:rPr>
                <w:rFonts w:hint="eastAsia" w:ascii="宋体" w:hAnsi="宋体"/>
                <w:bCs/>
                <w:sz w:val="24"/>
                <w:lang w:val="zh-CN"/>
              </w:rPr>
            </w:pPr>
            <w:r>
              <w:rPr>
                <w:rFonts w:hint="eastAsia" w:ascii="宋体" w:hAnsi="宋体"/>
                <w:bCs/>
                <w:sz w:val="24"/>
                <w:lang w:val="zh-CN"/>
              </w:rPr>
              <w:t>时间</w:t>
            </w:r>
          </w:p>
        </w:tc>
        <w:tc>
          <w:tcPr>
            <w:tcW w:w="2977" w:type="dxa"/>
            <w:gridSpan w:val="4"/>
            <w:tcBorders>
              <w:top w:val="single" w:color="auto" w:sz="6" w:space="0"/>
              <w:left w:val="single" w:color="auto" w:sz="6" w:space="0"/>
              <w:bottom w:val="single" w:color="auto" w:sz="6" w:space="0"/>
              <w:right w:val="single" w:color="auto" w:sz="6" w:space="0"/>
            </w:tcBorders>
            <w:vAlign w:val="center"/>
          </w:tcPr>
          <w:p w14:paraId="5101A45B">
            <w:pPr>
              <w:spacing w:line="300" w:lineRule="auto"/>
              <w:jc w:val="center"/>
              <w:rPr>
                <w:rFonts w:hint="eastAsia" w:ascii="宋体" w:hAnsi="宋体"/>
                <w:bCs/>
                <w:sz w:val="24"/>
                <w:lang w:val="zh-CN"/>
              </w:rPr>
            </w:pPr>
            <w:r>
              <w:rPr>
                <w:rFonts w:hint="eastAsia" w:ascii="宋体" w:hAnsi="宋体"/>
                <w:bCs/>
                <w:sz w:val="24"/>
                <w:lang w:val="zh-CN"/>
              </w:rPr>
              <w:t>合同金额</w:t>
            </w:r>
          </w:p>
          <w:p w14:paraId="470B062F">
            <w:pPr>
              <w:spacing w:line="300" w:lineRule="auto"/>
              <w:jc w:val="center"/>
              <w:rPr>
                <w:rFonts w:hint="eastAsia" w:ascii="宋体" w:hAnsi="宋体"/>
                <w:bCs/>
                <w:sz w:val="24"/>
                <w:lang w:val="zh-CN"/>
              </w:rPr>
            </w:pPr>
            <w:r>
              <w:rPr>
                <w:rFonts w:hint="eastAsia" w:ascii="宋体" w:hAnsi="宋体"/>
                <w:bCs/>
                <w:sz w:val="24"/>
                <w:lang w:val="zh-CN"/>
              </w:rPr>
              <w:t>（万元）</w:t>
            </w:r>
          </w:p>
        </w:tc>
        <w:tc>
          <w:tcPr>
            <w:tcW w:w="877" w:type="dxa"/>
            <w:tcBorders>
              <w:top w:val="single" w:color="auto" w:sz="6" w:space="0"/>
              <w:left w:val="single" w:color="auto" w:sz="6" w:space="0"/>
              <w:bottom w:val="single" w:color="auto" w:sz="6" w:space="0"/>
              <w:right w:val="single" w:color="auto" w:sz="6" w:space="0"/>
            </w:tcBorders>
            <w:vAlign w:val="center"/>
          </w:tcPr>
          <w:p w14:paraId="0CF90BB9">
            <w:pPr>
              <w:spacing w:line="300" w:lineRule="auto"/>
              <w:jc w:val="center"/>
              <w:rPr>
                <w:rFonts w:hint="eastAsia" w:ascii="宋体" w:hAnsi="宋体"/>
                <w:bCs/>
                <w:sz w:val="24"/>
                <w:lang w:val="zh-CN"/>
              </w:rPr>
            </w:pPr>
            <w:r>
              <w:rPr>
                <w:rFonts w:hint="eastAsia" w:ascii="宋体" w:hAnsi="宋体"/>
                <w:bCs/>
                <w:sz w:val="24"/>
                <w:lang w:val="zh-CN"/>
              </w:rPr>
              <w:t>备注</w:t>
            </w:r>
          </w:p>
        </w:tc>
      </w:tr>
      <w:tr w14:paraId="125F4073">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vAlign w:val="center"/>
          </w:tcPr>
          <w:p w14:paraId="3C897319">
            <w:pPr>
              <w:spacing w:line="300" w:lineRule="auto"/>
              <w:jc w:val="center"/>
              <w:rPr>
                <w:rFonts w:hint="eastAsia" w:ascii="宋体" w:hAnsi="宋体"/>
                <w:bCs/>
                <w:sz w:val="24"/>
                <w:lang w:val="zh-CN"/>
              </w:rPr>
            </w:pPr>
            <w:r>
              <w:rPr>
                <w:rFonts w:hint="eastAsia" w:ascii="宋体" w:hAnsi="宋体"/>
                <w:bCs/>
                <w:sz w:val="24"/>
                <w:lang w:val="zh-CN"/>
              </w:rPr>
              <w:t>1</w:t>
            </w:r>
          </w:p>
        </w:tc>
        <w:tc>
          <w:tcPr>
            <w:tcW w:w="2835" w:type="dxa"/>
            <w:gridSpan w:val="2"/>
            <w:tcBorders>
              <w:top w:val="single" w:color="auto" w:sz="6" w:space="0"/>
              <w:left w:val="single" w:color="auto" w:sz="6" w:space="0"/>
              <w:bottom w:val="single" w:color="auto" w:sz="6" w:space="0"/>
              <w:right w:val="single" w:color="auto" w:sz="6" w:space="0"/>
            </w:tcBorders>
            <w:vAlign w:val="center"/>
          </w:tcPr>
          <w:p w14:paraId="001156B6">
            <w:pPr>
              <w:spacing w:line="300" w:lineRule="auto"/>
              <w:jc w:val="center"/>
              <w:rPr>
                <w:rFonts w:hint="eastAsia" w:ascii="宋体" w:hAnsi="宋体"/>
                <w:bCs/>
                <w:sz w:val="24"/>
                <w:lang w:val="zh-CN"/>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34382250">
            <w:pPr>
              <w:spacing w:line="300" w:lineRule="auto"/>
              <w:jc w:val="center"/>
              <w:rPr>
                <w:rFonts w:hint="eastAsia" w:ascii="宋体" w:hAnsi="宋体"/>
                <w:bCs/>
                <w:sz w:val="24"/>
                <w:lang w:val="zh-CN"/>
              </w:rPr>
            </w:pPr>
          </w:p>
        </w:tc>
        <w:tc>
          <w:tcPr>
            <w:tcW w:w="2977" w:type="dxa"/>
            <w:gridSpan w:val="4"/>
            <w:tcBorders>
              <w:top w:val="single" w:color="auto" w:sz="6" w:space="0"/>
              <w:left w:val="single" w:color="auto" w:sz="6" w:space="0"/>
              <w:bottom w:val="single" w:color="auto" w:sz="6" w:space="0"/>
              <w:right w:val="single" w:color="auto" w:sz="6" w:space="0"/>
            </w:tcBorders>
            <w:vAlign w:val="center"/>
          </w:tcPr>
          <w:p w14:paraId="6889389E">
            <w:pPr>
              <w:spacing w:line="300" w:lineRule="auto"/>
              <w:jc w:val="center"/>
              <w:rPr>
                <w:rFonts w:hint="eastAsia" w:ascii="宋体" w:hAnsi="宋体"/>
                <w:bCs/>
                <w:sz w:val="24"/>
                <w:lang w:val="zh-CN"/>
              </w:rPr>
            </w:pPr>
          </w:p>
        </w:tc>
        <w:tc>
          <w:tcPr>
            <w:tcW w:w="877" w:type="dxa"/>
            <w:tcBorders>
              <w:top w:val="single" w:color="auto" w:sz="6" w:space="0"/>
              <w:left w:val="single" w:color="auto" w:sz="6" w:space="0"/>
              <w:bottom w:val="single" w:color="auto" w:sz="6" w:space="0"/>
              <w:right w:val="single" w:color="auto" w:sz="6" w:space="0"/>
            </w:tcBorders>
            <w:vAlign w:val="center"/>
          </w:tcPr>
          <w:p w14:paraId="734DFFE7">
            <w:pPr>
              <w:spacing w:line="300" w:lineRule="auto"/>
              <w:jc w:val="center"/>
              <w:rPr>
                <w:rFonts w:hint="eastAsia" w:ascii="宋体" w:hAnsi="宋体"/>
                <w:bCs/>
                <w:sz w:val="24"/>
                <w:lang w:val="zh-CN"/>
              </w:rPr>
            </w:pPr>
          </w:p>
        </w:tc>
      </w:tr>
      <w:tr w14:paraId="28D4B8D8">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vAlign w:val="center"/>
          </w:tcPr>
          <w:p w14:paraId="6B38353F">
            <w:pPr>
              <w:spacing w:line="300" w:lineRule="auto"/>
              <w:jc w:val="center"/>
              <w:rPr>
                <w:rFonts w:hint="eastAsia" w:ascii="宋体" w:hAnsi="宋体"/>
                <w:bCs/>
                <w:sz w:val="24"/>
                <w:lang w:val="zh-CN"/>
              </w:rPr>
            </w:pPr>
            <w:r>
              <w:rPr>
                <w:rFonts w:hint="eastAsia" w:ascii="宋体" w:hAnsi="宋体"/>
                <w:bCs/>
                <w:sz w:val="24"/>
                <w:lang w:val="zh-CN"/>
              </w:rPr>
              <w:t>2</w:t>
            </w:r>
          </w:p>
        </w:tc>
        <w:tc>
          <w:tcPr>
            <w:tcW w:w="2835" w:type="dxa"/>
            <w:gridSpan w:val="2"/>
            <w:tcBorders>
              <w:top w:val="single" w:color="auto" w:sz="6" w:space="0"/>
              <w:left w:val="single" w:color="auto" w:sz="6" w:space="0"/>
              <w:bottom w:val="single" w:color="auto" w:sz="6" w:space="0"/>
              <w:right w:val="single" w:color="auto" w:sz="6" w:space="0"/>
            </w:tcBorders>
            <w:vAlign w:val="center"/>
          </w:tcPr>
          <w:p w14:paraId="665F97F0">
            <w:pPr>
              <w:spacing w:line="300" w:lineRule="auto"/>
              <w:jc w:val="center"/>
              <w:rPr>
                <w:rFonts w:hint="eastAsia" w:ascii="宋体" w:hAnsi="宋体"/>
                <w:bCs/>
                <w:sz w:val="24"/>
                <w:lang w:val="zh-CN"/>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7C54BB4F">
            <w:pPr>
              <w:spacing w:line="300" w:lineRule="auto"/>
              <w:jc w:val="center"/>
              <w:rPr>
                <w:rFonts w:hint="eastAsia" w:ascii="宋体" w:hAnsi="宋体"/>
                <w:bCs/>
                <w:sz w:val="24"/>
                <w:lang w:val="zh-CN"/>
              </w:rPr>
            </w:pPr>
          </w:p>
        </w:tc>
        <w:tc>
          <w:tcPr>
            <w:tcW w:w="2977" w:type="dxa"/>
            <w:gridSpan w:val="4"/>
            <w:tcBorders>
              <w:top w:val="single" w:color="auto" w:sz="6" w:space="0"/>
              <w:left w:val="single" w:color="auto" w:sz="6" w:space="0"/>
              <w:bottom w:val="single" w:color="auto" w:sz="6" w:space="0"/>
              <w:right w:val="single" w:color="auto" w:sz="6" w:space="0"/>
            </w:tcBorders>
            <w:vAlign w:val="center"/>
          </w:tcPr>
          <w:p w14:paraId="59A2BFD5">
            <w:pPr>
              <w:spacing w:line="300" w:lineRule="auto"/>
              <w:jc w:val="center"/>
              <w:rPr>
                <w:rFonts w:hint="eastAsia" w:ascii="宋体" w:hAnsi="宋体"/>
                <w:bCs/>
                <w:sz w:val="24"/>
                <w:lang w:val="zh-CN"/>
              </w:rPr>
            </w:pPr>
          </w:p>
        </w:tc>
        <w:tc>
          <w:tcPr>
            <w:tcW w:w="877" w:type="dxa"/>
            <w:tcBorders>
              <w:top w:val="single" w:color="auto" w:sz="6" w:space="0"/>
              <w:left w:val="single" w:color="auto" w:sz="6" w:space="0"/>
              <w:bottom w:val="single" w:color="auto" w:sz="6" w:space="0"/>
              <w:right w:val="single" w:color="auto" w:sz="6" w:space="0"/>
            </w:tcBorders>
            <w:vAlign w:val="center"/>
          </w:tcPr>
          <w:p w14:paraId="53A62B37">
            <w:pPr>
              <w:spacing w:line="300" w:lineRule="auto"/>
              <w:jc w:val="center"/>
              <w:rPr>
                <w:rFonts w:hint="eastAsia" w:ascii="宋体" w:hAnsi="宋体"/>
                <w:bCs/>
                <w:sz w:val="24"/>
                <w:lang w:val="zh-CN"/>
              </w:rPr>
            </w:pPr>
          </w:p>
        </w:tc>
      </w:tr>
      <w:tr w14:paraId="4B6DC6EC">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vAlign w:val="center"/>
          </w:tcPr>
          <w:p w14:paraId="03C40479">
            <w:pPr>
              <w:spacing w:line="300" w:lineRule="auto"/>
              <w:jc w:val="center"/>
              <w:rPr>
                <w:rFonts w:hint="eastAsia" w:ascii="宋体" w:hAnsi="宋体"/>
                <w:bCs/>
                <w:sz w:val="24"/>
                <w:lang w:val="zh-CN"/>
              </w:rPr>
            </w:pPr>
            <w:r>
              <w:rPr>
                <w:rFonts w:hint="eastAsia" w:ascii="宋体" w:hAnsi="宋体"/>
                <w:bCs/>
                <w:sz w:val="24"/>
                <w:lang w:val="zh-CN"/>
              </w:rPr>
              <w:t>3</w:t>
            </w:r>
          </w:p>
        </w:tc>
        <w:tc>
          <w:tcPr>
            <w:tcW w:w="2835" w:type="dxa"/>
            <w:gridSpan w:val="2"/>
            <w:tcBorders>
              <w:top w:val="single" w:color="auto" w:sz="6" w:space="0"/>
              <w:left w:val="single" w:color="auto" w:sz="6" w:space="0"/>
              <w:bottom w:val="single" w:color="auto" w:sz="6" w:space="0"/>
              <w:right w:val="single" w:color="auto" w:sz="6" w:space="0"/>
            </w:tcBorders>
            <w:vAlign w:val="center"/>
          </w:tcPr>
          <w:p w14:paraId="11EC4CCF">
            <w:pPr>
              <w:spacing w:line="300" w:lineRule="auto"/>
              <w:jc w:val="center"/>
              <w:rPr>
                <w:rFonts w:hint="eastAsia" w:ascii="宋体" w:hAnsi="宋体"/>
                <w:bCs/>
                <w:sz w:val="24"/>
                <w:lang w:val="zh-CN"/>
              </w:rPr>
            </w:pP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314B532D">
            <w:pPr>
              <w:spacing w:line="300" w:lineRule="auto"/>
              <w:jc w:val="center"/>
              <w:rPr>
                <w:rFonts w:hint="eastAsia" w:ascii="宋体" w:hAnsi="宋体"/>
                <w:bCs/>
                <w:sz w:val="24"/>
                <w:lang w:val="zh-CN"/>
              </w:rPr>
            </w:pPr>
          </w:p>
        </w:tc>
        <w:tc>
          <w:tcPr>
            <w:tcW w:w="2977" w:type="dxa"/>
            <w:gridSpan w:val="4"/>
            <w:tcBorders>
              <w:top w:val="single" w:color="auto" w:sz="6" w:space="0"/>
              <w:left w:val="single" w:color="auto" w:sz="6" w:space="0"/>
              <w:bottom w:val="single" w:color="auto" w:sz="6" w:space="0"/>
              <w:right w:val="single" w:color="auto" w:sz="6" w:space="0"/>
            </w:tcBorders>
            <w:vAlign w:val="center"/>
          </w:tcPr>
          <w:p w14:paraId="31C2C51B">
            <w:pPr>
              <w:spacing w:line="300" w:lineRule="auto"/>
              <w:jc w:val="center"/>
              <w:rPr>
                <w:rFonts w:hint="eastAsia" w:ascii="宋体" w:hAnsi="宋体"/>
                <w:bCs/>
                <w:sz w:val="24"/>
                <w:lang w:val="zh-CN"/>
              </w:rPr>
            </w:pPr>
          </w:p>
        </w:tc>
        <w:tc>
          <w:tcPr>
            <w:tcW w:w="877" w:type="dxa"/>
            <w:tcBorders>
              <w:top w:val="single" w:color="auto" w:sz="6" w:space="0"/>
              <w:left w:val="single" w:color="auto" w:sz="6" w:space="0"/>
              <w:bottom w:val="single" w:color="auto" w:sz="6" w:space="0"/>
              <w:right w:val="single" w:color="auto" w:sz="6" w:space="0"/>
            </w:tcBorders>
            <w:vAlign w:val="center"/>
          </w:tcPr>
          <w:p w14:paraId="18107BE5">
            <w:pPr>
              <w:spacing w:line="300" w:lineRule="auto"/>
              <w:jc w:val="center"/>
              <w:rPr>
                <w:rFonts w:hint="eastAsia" w:ascii="宋体" w:hAnsi="宋体"/>
                <w:bCs/>
                <w:sz w:val="24"/>
                <w:lang w:val="zh-CN"/>
              </w:rPr>
            </w:pPr>
          </w:p>
        </w:tc>
      </w:tr>
      <w:tr w14:paraId="57306BA4">
        <w:tblPrEx>
          <w:tblCellMar>
            <w:top w:w="0" w:type="dxa"/>
            <w:left w:w="0" w:type="dxa"/>
            <w:bottom w:w="0" w:type="dxa"/>
            <w:right w:w="0" w:type="dxa"/>
          </w:tblCellMar>
        </w:tblPrEx>
        <w:trPr>
          <w:trHeight w:val="825" w:hRule="atLeast"/>
          <w:jc w:val="center"/>
        </w:trPr>
        <w:tc>
          <w:tcPr>
            <w:tcW w:w="510" w:type="dxa"/>
            <w:tcBorders>
              <w:top w:val="single" w:color="auto" w:sz="6" w:space="0"/>
              <w:left w:val="single" w:color="auto" w:sz="6" w:space="0"/>
              <w:bottom w:val="single" w:color="auto" w:sz="6" w:space="0"/>
              <w:right w:val="single" w:color="auto" w:sz="6" w:space="0"/>
            </w:tcBorders>
            <w:vAlign w:val="center"/>
          </w:tcPr>
          <w:p w14:paraId="4D75378E">
            <w:pPr>
              <w:spacing w:line="300" w:lineRule="auto"/>
              <w:jc w:val="center"/>
              <w:rPr>
                <w:rFonts w:hint="eastAsia" w:ascii="宋体" w:hAnsi="宋体"/>
                <w:sz w:val="24"/>
                <w:lang w:val="zh-CN"/>
              </w:rPr>
            </w:pPr>
            <w:r>
              <w:rPr>
                <w:rFonts w:hint="eastAsia" w:ascii="宋体" w:hAnsi="宋体"/>
                <w:sz w:val="24"/>
                <w:lang w:val="zh-CN"/>
              </w:rPr>
              <w:t>…</w:t>
            </w:r>
          </w:p>
        </w:tc>
        <w:tc>
          <w:tcPr>
            <w:tcW w:w="2835" w:type="dxa"/>
            <w:gridSpan w:val="2"/>
            <w:tcBorders>
              <w:top w:val="single" w:color="auto" w:sz="6" w:space="0"/>
              <w:left w:val="single" w:color="auto" w:sz="6" w:space="0"/>
              <w:bottom w:val="single" w:color="auto" w:sz="6" w:space="0"/>
              <w:right w:val="single" w:color="auto" w:sz="6" w:space="0"/>
            </w:tcBorders>
            <w:vAlign w:val="center"/>
          </w:tcPr>
          <w:p w14:paraId="24E12B0A">
            <w:pPr>
              <w:jc w:val="center"/>
            </w:pPr>
            <w:r>
              <w:rPr>
                <w:rFonts w:hint="eastAsia" w:ascii="宋体" w:hAnsi="宋体"/>
                <w:sz w:val="24"/>
                <w:lang w:val="zh-CN"/>
              </w:rPr>
              <w:t>…</w:t>
            </w:r>
          </w:p>
        </w:tc>
        <w:tc>
          <w:tcPr>
            <w:tcW w:w="1559" w:type="dxa"/>
            <w:gridSpan w:val="2"/>
            <w:tcBorders>
              <w:top w:val="single" w:color="auto" w:sz="6" w:space="0"/>
              <w:left w:val="single" w:color="auto" w:sz="6" w:space="0"/>
              <w:bottom w:val="single" w:color="auto" w:sz="6" w:space="0"/>
              <w:right w:val="single" w:color="auto" w:sz="6" w:space="0"/>
            </w:tcBorders>
            <w:vAlign w:val="center"/>
          </w:tcPr>
          <w:p w14:paraId="6D3CDA0C">
            <w:pPr>
              <w:jc w:val="center"/>
            </w:pPr>
            <w:r>
              <w:rPr>
                <w:rFonts w:hint="eastAsia" w:ascii="宋体" w:hAnsi="宋体"/>
                <w:sz w:val="24"/>
                <w:lang w:val="zh-CN"/>
              </w:rPr>
              <w:t>…</w:t>
            </w:r>
          </w:p>
        </w:tc>
        <w:tc>
          <w:tcPr>
            <w:tcW w:w="2977" w:type="dxa"/>
            <w:gridSpan w:val="4"/>
            <w:tcBorders>
              <w:top w:val="single" w:color="auto" w:sz="6" w:space="0"/>
              <w:left w:val="single" w:color="auto" w:sz="6" w:space="0"/>
              <w:bottom w:val="single" w:color="auto" w:sz="6" w:space="0"/>
              <w:right w:val="single" w:color="auto" w:sz="6" w:space="0"/>
            </w:tcBorders>
            <w:vAlign w:val="center"/>
          </w:tcPr>
          <w:p w14:paraId="52860022">
            <w:pPr>
              <w:jc w:val="center"/>
            </w:pPr>
            <w:r>
              <w:rPr>
                <w:rFonts w:hint="eastAsia" w:ascii="宋体" w:hAnsi="宋体"/>
                <w:sz w:val="24"/>
                <w:lang w:val="zh-CN"/>
              </w:rPr>
              <w:t>…</w:t>
            </w:r>
          </w:p>
        </w:tc>
        <w:tc>
          <w:tcPr>
            <w:tcW w:w="877" w:type="dxa"/>
            <w:tcBorders>
              <w:top w:val="single" w:color="auto" w:sz="6" w:space="0"/>
              <w:left w:val="single" w:color="auto" w:sz="6" w:space="0"/>
              <w:bottom w:val="single" w:color="auto" w:sz="6" w:space="0"/>
              <w:right w:val="single" w:color="auto" w:sz="6" w:space="0"/>
            </w:tcBorders>
            <w:vAlign w:val="center"/>
          </w:tcPr>
          <w:p w14:paraId="79C00944">
            <w:pPr>
              <w:jc w:val="center"/>
            </w:pPr>
            <w:r>
              <w:rPr>
                <w:rFonts w:hint="eastAsia" w:ascii="宋体" w:hAnsi="宋体"/>
                <w:sz w:val="24"/>
                <w:lang w:val="zh-CN"/>
              </w:rPr>
              <w:t>…</w:t>
            </w:r>
          </w:p>
        </w:tc>
      </w:tr>
    </w:tbl>
    <w:p w14:paraId="779E48D1">
      <w:pPr>
        <w:spacing w:line="360" w:lineRule="auto"/>
        <w:jc w:val="left"/>
        <w:rPr>
          <w:rFonts w:hint="eastAsia" w:ascii="宋体" w:hAnsi="宋体"/>
          <w:sz w:val="24"/>
        </w:rPr>
      </w:pPr>
      <w:r>
        <w:rPr>
          <w:rFonts w:ascii="宋体" w:hAnsi="宋体"/>
          <w:sz w:val="24"/>
        </w:rPr>
        <w:t>注</w:t>
      </w:r>
      <w:r>
        <w:rPr>
          <w:rFonts w:hint="eastAsia" w:ascii="宋体" w:hAnsi="宋体"/>
          <w:sz w:val="24"/>
        </w:rPr>
        <w:t>：</w:t>
      </w:r>
      <w:r>
        <w:rPr>
          <w:rFonts w:ascii="宋体" w:hAnsi="宋体"/>
          <w:sz w:val="24"/>
        </w:rPr>
        <w:t>后按</w:t>
      </w:r>
      <w:r>
        <w:rPr>
          <w:rFonts w:hint="eastAsia" w:ascii="宋体" w:hAnsi="宋体"/>
          <w:sz w:val="24"/>
        </w:rPr>
        <w:t>谈判</w:t>
      </w:r>
      <w:r>
        <w:rPr>
          <w:rFonts w:ascii="宋体" w:hAnsi="宋体"/>
          <w:sz w:val="24"/>
        </w:rPr>
        <w:t>文件要求附相关证明材料</w:t>
      </w:r>
      <w:r>
        <w:rPr>
          <w:rFonts w:hint="eastAsia" w:ascii="宋体" w:hAnsi="宋体"/>
          <w:sz w:val="24"/>
        </w:rPr>
        <w:t>。</w:t>
      </w:r>
    </w:p>
    <w:p w14:paraId="0E5C7CC1">
      <w:pPr>
        <w:widowControl/>
        <w:jc w:val="right"/>
        <w:rPr>
          <w:rFonts w:hint="eastAsia" w:ascii="宋体" w:hAnsi="宋体" w:cs="宋体"/>
          <w:sz w:val="24"/>
          <w:szCs w:val="21"/>
          <w:lang w:val="zh-CN"/>
        </w:rPr>
      </w:pPr>
    </w:p>
    <w:p w14:paraId="0D2AB149">
      <w:pPr>
        <w:spacing w:line="460" w:lineRule="exact"/>
        <w:ind w:firstLine="480"/>
        <w:jc w:val="right"/>
        <w:rPr>
          <w:rFonts w:hint="eastAsia" w:ascii="宋体" w:hAnsi="宋体"/>
          <w:bCs/>
          <w:sz w:val="24"/>
        </w:rPr>
      </w:pPr>
      <w:r>
        <w:rPr>
          <w:rFonts w:hint="eastAsia" w:ascii="宋体" w:hAnsi="宋体"/>
          <w:bCs/>
          <w:sz w:val="24"/>
        </w:rPr>
        <w:t>竞争性谈判申请人：__________________________（公章）</w:t>
      </w:r>
    </w:p>
    <w:p w14:paraId="39E007B3">
      <w:pPr>
        <w:spacing w:line="460" w:lineRule="exact"/>
        <w:ind w:firstLine="480"/>
        <w:jc w:val="right"/>
        <w:rPr>
          <w:rFonts w:hint="eastAsia" w:ascii="宋体" w:hAnsi="宋体"/>
          <w:bCs/>
          <w:sz w:val="24"/>
        </w:rPr>
      </w:pPr>
      <w:r>
        <w:rPr>
          <w:rFonts w:hint="eastAsia" w:ascii="宋体" w:hAnsi="宋体"/>
          <w:bCs/>
          <w:sz w:val="24"/>
        </w:rPr>
        <w:t>日期：</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14:paraId="6294311F">
      <w:pPr>
        <w:pStyle w:val="277"/>
        <w:spacing w:line="480" w:lineRule="auto"/>
        <w:ind w:firstLine="0"/>
        <w:jc w:val="center"/>
        <w:rPr>
          <w:rFonts w:hint="eastAsia" w:ascii="宋体" w:hAnsi="宋体" w:eastAsia="宋体"/>
          <w:b/>
          <w:color w:val="auto"/>
          <w:szCs w:val="28"/>
        </w:rPr>
      </w:pPr>
    </w:p>
    <w:p w14:paraId="6A2D5CF5">
      <w:pPr>
        <w:pStyle w:val="276"/>
        <w:ind w:firstLine="0"/>
        <w:jc w:val="center"/>
        <w:rPr>
          <w:rFonts w:hint="eastAsia"/>
          <w:b/>
          <w:szCs w:val="28"/>
        </w:rPr>
      </w:pPr>
    </w:p>
    <w:p w14:paraId="69541604">
      <w:pPr>
        <w:pStyle w:val="276"/>
        <w:ind w:firstLine="0"/>
        <w:jc w:val="center"/>
        <w:rPr>
          <w:rFonts w:hint="eastAsia"/>
          <w:b/>
          <w:szCs w:val="28"/>
        </w:rPr>
      </w:pPr>
    </w:p>
    <w:p w14:paraId="5C8B2FF2">
      <w:pPr>
        <w:pStyle w:val="277"/>
        <w:spacing w:line="480" w:lineRule="auto"/>
        <w:ind w:firstLine="0"/>
        <w:rPr>
          <w:rFonts w:hint="eastAsia" w:ascii="宋体" w:hAnsi="宋体" w:eastAsia="宋体"/>
          <w:b/>
          <w:color w:val="auto"/>
          <w:szCs w:val="28"/>
        </w:rPr>
      </w:pPr>
      <w:r>
        <w:rPr>
          <w:rFonts w:hint="eastAsia" w:ascii="宋体" w:hAnsi="宋体" w:eastAsia="宋体"/>
          <w:b/>
          <w:color w:val="auto"/>
          <w:szCs w:val="28"/>
        </w:rPr>
        <w:t>（六）供应商财务状况报告</w:t>
      </w:r>
    </w:p>
    <w:p w14:paraId="39EA6D3D">
      <w:pPr>
        <w:pStyle w:val="277"/>
        <w:spacing w:line="480" w:lineRule="auto"/>
        <w:ind w:firstLine="0"/>
        <w:rPr>
          <w:rFonts w:hint="eastAsia" w:ascii="宋体" w:hAnsi="宋体" w:eastAsia="宋体"/>
          <w:b/>
          <w:color w:val="auto"/>
          <w:szCs w:val="28"/>
        </w:rPr>
      </w:pPr>
      <w:r>
        <w:rPr>
          <w:rFonts w:hint="eastAsia" w:ascii="宋体" w:hAnsi="宋体" w:eastAsia="宋体"/>
          <w:b/>
          <w:color w:val="auto"/>
          <w:szCs w:val="28"/>
        </w:rPr>
        <w:t>（七）具有履行合同所必需的设备和专业技术能力的证明材料（格式见附件）</w:t>
      </w:r>
    </w:p>
    <w:p w14:paraId="220569F6">
      <w:pPr>
        <w:pStyle w:val="277"/>
        <w:spacing w:line="480" w:lineRule="auto"/>
        <w:ind w:firstLine="0"/>
        <w:rPr>
          <w:rFonts w:hint="eastAsia" w:ascii="宋体" w:hAnsi="宋体" w:eastAsia="宋体"/>
          <w:b/>
          <w:color w:val="auto"/>
          <w:szCs w:val="28"/>
        </w:rPr>
      </w:pPr>
      <w:r>
        <w:rPr>
          <w:rFonts w:hint="eastAsia" w:ascii="宋体" w:hAnsi="宋体" w:eastAsia="宋体"/>
          <w:b/>
          <w:color w:val="auto"/>
          <w:szCs w:val="28"/>
        </w:rPr>
        <w:t>（八）依法缴纳税收和社会保障资金的证明材料</w:t>
      </w:r>
    </w:p>
    <w:p w14:paraId="44BEB95D">
      <w:pPr>
        <w:pStyle w:val="277"/>
        <w:spacing w:line="480" w:lineRule="auto"/>
        <w:ind w:firstLine="0"/>
        <w:rPr>
          <w:rFonts w:hint="eastAsia" w:ascii="宋体" w:hAnsi="宋体" w:eastAsia="宋体"/>
          <w:b/>
          <w:color w:val="auto"/>
          <w:szCs w:val="28"/>
        </w:rPr>
      </w:pPr>
      <w:r>
        <w:rPr>
          <w:rFonts w:hint="eastAsia" w:ascii="宋体" w:hAnsi="宋体" w:eastAsia="宋体"/>
          <w:b/>
          <w:color w:val="auto"/>
          <w:szCs w:val="28"/>
        </w:rPr>
        <w:t>（九）供应商参加采购活动前三年，在经营活动中没有重大违法记录的声明（格式见附件）</w:t>
      </w:r>
    </w:p>
    <w:p w14:paraId="63DA0B0F">
      <w:pPr>
        <w:widowControl/>
        <w:spacing w:line="360" w:lineRule="auto"/>
        <w:jc w:val="left"/>
        <w:rPr>
          <w:rFonts w:hint="eastAsia" w:ascii="宋体" w:hAnsi="宋体" w:cs="宋体"/>
          <w:sz w:val="24"/>
          <w:szCs w:val="21"/>
        </w:rPr>
      </w:pPr>
    </w:p>
    <w:p w14:paraId="3EE73C54">
      <w:pPr>
        <w:widowControl/>
        <w:spacing w:line="360" w:lineRule="auto"/>
        <w:jc w:val="left"/>
        <w:rPr>
          <w:rFonts w:hint="eastAsia" w:ascii="宋体" w:hAnsi="宋体" w:cs="宋体"/>
          <w:sz w:val="24"/>
          <w:szCs w:val="21"/>
        </w:rPr>
      </w:pPr>
    </w:p>
    <w:p w14:paraId="48024259">
      <w:pPr>
        <w:widowControl/>
        <w:spacing w:line="360" w:lineRule="auto"/>
        <w:jc w:val="right"/>
        <w:rPr>
          <w:rFonts w:hint="eastAsia" w:ascii="宋体" w:hAnsi="宋体" w:cs="宋体"/>
          <w:sz w:val="24"/>
          <w:szCs w:val="21"/>
          <w:lang w:val="zh-CN"/>
        </w:rPr>
        <w:sectPr>
          <w:pgSz w:w="11906" w:h="16838"/>
          <w:pgMar w:top="1440" w:right="1800" w:bottom="1440" w:left="1800" w:header="851" w:footer="992" w:gutter="0"/>
          <w:cols w:space="720" w:num="1"/>
          <w:docGrid w:linePitch="360" w:charSpace="0"/>
        </w:sectPr>
      </w:pPr>
    </w:p>
    <w:p w14:paraId="19B83663">
      <w:pPr>
        <w:pStyle w:val="4"/>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五、其他资料</w:t>
      </w:r>
    </w:p>
    <w:p w14:paraId="4B0B3693">
      <w:pPr>
        <w:spacing w:line="480" w:lineRule="auto"/>
        <w:jc w:val="left"/>
        <w:rPr>
          <w:sz w:val="24"/>
        </w:rPr>
      </w:pPr>
      <w:bookmarkStart w:id="757" w:name="_Toc27777"/>
      <w:r>
        <w:rPr>
          <w:rFonts w:hint="eastAsia"/>
          <w:sz w:val="24"/>
        </w:rPr>
        <w:t>（竞争性谈判申请人认为需要提供的其他材料，本部分需逐页加盖供应商公章，如其他承诺书等）</w:t>
      </w:r>
      <w:bookmarkEnd w:id="757"/>
    </w:p>
    <w:p w14:paraId="0839919A">
      <w:pPr>
        <w:spacing w:line="480" w:lineRule="auto"/>
        <w:outlineLvl w:val="0"/>
        <w:rPr>
          <w:b/>
          <w:sz w:val="28"/>
          <w:szCs w:val="28"/>
          <w:lang w:val="zh-CN"/>
        </w:rPr>
      </w:pPr>
      <w:r>
        <w:rPr>
          <w:sz w:val="24"/>
        </w:rPr>
        <w:br w:type="page" w:clear="all"/>
      </w:r>
      <w:r>
        <w:rPr>
          <w:rFonts w:hint="eastAsia"/>
          <w:b/>
          <w:bCs/>
        </w:rPr>
        <w:t xml:space="preserve"> </w:t>
      </w:r>
      <w:r>
        <w:rPr>
          <w:rFonts w:hint="eastAsia"/>
          <w:b/>
          <w:sz w:val="28"/>
          <w:szCs w:val="28"/>
          <w:lang w:val="zh-CN"/>
        </w:rPr>
        <w:t>附件一、无重大违法记录声明格式</w:t>
      </w:r>
    </w:p>
    <w:p w14:paraId="23937F83">
      <w:pPr>
        <w:widowControl/>
        <w:spacing w:line="240" w:lineRule="atLeast"/>
        <w:rPr>
          <w:b/>
        </w:rPr>
      </w:pPr>
    </w:p>
    <w:p w14:paraId="6C8F91C3">
      <w:pPr>
        <w:jc w:val="center"/>
        <w:rPr>
          <w:rFonts w:ascii="黑体" w:eastAsia="黑体"/>
          <w:sz w:val="32"/>
          <w:szCs w:val="36"/>
        </w:rPr>
      </w:pPr>
    </w:p>
    <w:p w14:paraId="5AD7E97D">
      <w:pPr>
        <w:jc w:val="center"/>
        <w:rPr>
          <w:rFonts w:hint="eastAsia" w:asciiTheme="minorEastAsia" w:hAnsiTheme="minorEastAsia" w:eastAsiaTheme="minorEastAsia" w:cstheme="minorEastAsia"/>
          <w:b/>
          <w:bCs/>
          <w:sz w:val="32"/>
          <w:szCs w:val="36"/>
        </w:rPr>
      </w:pPr>
      <w:r>
        <w:rPr>
          <w:rFonts w:hint="eastAsia" w:asciiTheme="minorEastAsia" w:hAnsiTheme="minorEastAsia" w:eastAsiaTheme="minorEastAsia" w:cstheme="minorEastAsia"/>
          <w:b/>
          <w:bCs/>
          <w:sz w:val="32"/>
          <w:szCs w:val="36"/>
        </w:rPr>
        <w:t>无重大违法记录声明</w:t>
      </w:r>
    </w:p>
    <w:p w14:paraId="28253FCC">
      <w:pPr>
        <w:spacing w:line="360" w:lineRule="auto"/>
        <w:ind w:firstLine="420"/>
      </w:pPr>
    </w:p>
    <w:p w14:paraId="380D315A">
      <w:pPr>
        <w:spacing w:line="360" w:lineRule="auto"/>
        <w:rPr>
          <w:sz w:val="24"/>
          <w:lang w:val="zh-CN"/>
        </w:rPr>
      </w:pPr>
      <w:r>
        <w:rPr>
          <w:rFonts w:hint="eastAsia"/>
          <w:sz w:val="24"/>
          <w:lang w:val="zh-CN"/>
        </w:rPr>
        <w:t>南京审计大学金审学院：</w:t>
      </w:r>
    </w:p>
    <w:p w14:paraId="6D2B2508">
      <w:pPr>
        <w:spacing w:line="360" w:lineRule="auto"/>
        <w:ind w:firstLine="480"/>
        <w:rPr>
          <w:sz w:val="24"/>
        </w:rPr>
      </w:pPr>
      <w:r>
        <w:rPr>
          <w:rFonts w:hint="eastAsia"/>
          <w:sz w:val="24"/>
        </w:rPr>
        <w:t>我单位（供应商单位名称）郑重声明：</w:t>
      </w:r>
    </w:p>
    <w:p w14:paraId="2B388DDB">
      <w:pPr>
        <w:spacing w:line="360" w:lineRule="auto"/>
        <w:ind w:firstLine="480"/>
        <w:rPr>
          <w:sz w:val="24"/>
        </w:rPr>
      </w:pPr>
      <w:r>
        <w:rPr>
          <w:rFonts w:hint="eastAsia"/>
          <w:sz w:val="24"/>
        </w:rPr>
        <w:t>参加采购活动前3年内在经营活动中</w:t>
      </w:r>
      <w:r>
        <w:rPr>
          <w:rFonts w:hint="eastAsia"/>
          <w:sz w:val="24"/>
          <w:u w:val="single"/>
        </w:rPr>
        <w:t xml:space="preserve">       </w:t>
      </w:r>
      <w:r>
        <w:rPr>
          <w:rFonts w:hint="eastAsia"/>
          <w:sz w:val="24"/>
        </w:rPr>
        <w:t>（在下划线上如实填写：有或没有）重大违法记录。</w:t>
      </w:r>
    </w:p>
    <w:p w14:paraId="33A6DE68">
      <w:pPr>
        <w:spacing w:line="360" w:lineRule="auto"/>
        <w:ind w:firstLine="480"/>
        <w:rPr>
          <w:sz w:val="24"/>
        </w:rPr>
      </w:pPr>
    </w:p>
    <w:p w14:paraId="23AEF913">
      <w:pPr>
        <w:spacing w:line="360" w:lineRule="auto"/>
        <w:ind w:firstLine="480"/>
        <w:rPr>
          <w:sz w:val="24"/>
        </w:rPr>
      </w:pPr>
    </w:p>
    <w:p w14:paraId="0A9617B6">
      <w:pPr>
        <w:spacing w:line="360" w:lineRule="auto"/>
        <w:ind w:firstLine="480"/>
        <w:rPr>
          <w:sz w:val="24"/>
        </w:rPr>
      </w:pPr>
    </w:p>
    <w:p w14:paraId="3B18515F">
      <w:pPr>
        <w:spacing w:line="360" w:lineRule="auto"/>
        <w:ind w:firstLine="480"/>
        <w:jc w:val="right"/>
        <w:rPr>
          <w:sz w:val="24"/>
        </w:rPr>
      </w:pPr>
      <w:r>
        <w:rPr>
          <w:rFonts w:hint="eastAsia"/>
          <w:sz w:val="24"/>
        </w:rPr>
        <w:t>声明人：（公章）</w:t>
      </w:r>
    </w:p>
    <w:p w14:paraId="2EF68274">
      <w:pPr>
        <w:spacing w:line="360" w:lineRule="auto"/>
        <w:ind w:firstLine="480"/>
        <w:jc w:val="right"/>
        <w:rPr>
          <w:sz w:val="24"/>
        </w:rPr>
        <w:sectPr>
          <w:footerReference r:id="rId6" w:type="default"/>
          <w:pgSz w:w="11906" w:h="16838"/>
          <w:pgMar w:top="1440" w:right="1800" w:bottom="1440" w:left="1800" w:header="851" w:footer="992" w:gutter="0"/>
          <w:cols w:space="720" w:num="1"/>
          <w:docGrid w:linePitch="360" w:charSpace="0"/>
        </w:sectPr>
      </w:pPr>
      <w:r>
        <w:rPr>
          <w:rFonts w:hint="eastAsia"/>
          <w:sz w:val="24"/>
        </w:rPr>
        <w:t>年   月   日</w:t>
      </w:r>
    </w:p>
    <w:p w14:paraId="41F766EB">
      <w:pPr>
        <w:spacing w:line="480" w:lineRule="auto"/>
        <w:outlineLvl w:val="0"/>
        <w:rPr>
          <w:b/>
          <w:sz w:val="28"/>
          <w:szCs w:val="28"/>
          <w:lang w:val="zh-CN"/>
        </w:rPr>
      </w:pPr>
      <w:r>
        <w:rPr>
          <w:rFonts w:hint="eastAsia"/>
          <w:b/>
          <w:sz w:val="28"/>
          <w:szCs w:val="28"/>
          <w:lang w:val="zh-CN"/>
        </w:rPr>
        <w:t>附件二、具备履行合同所必需的设备和专业技术能力的声明格式及证明材料</w:t>
      </w:r>
    </w:p>
    <w:p w14:paraId="4B3429D9">
      <w:pPr>
        <w:spacing w:line="360" w:lineRule="auto"/>
        <w:jc w:val="left"/>
        <w:rPr>
          <w:rFonts w:hint="eastAsia" w:ascii="黑体" w:hAnsi="宋体" w:eastAsia="黑体"/>
          <w:sz w:val="36"/>
          <w:szCs w:val="36"/>
        </w:rPr>
      </w:pPr>
    </w:p>
    <w:p w14:paraId="2B3659ED">
      <w:pPr>
        <w:spacing w:line="360" w:lineRule="auto"/>
        <w:jc w:val="center"/>
        <w:rPr>
          <w:rFonts w:ascii="黑体" w:eastAsia="黑体"/>
          <w:b/>
          <w:bCs/>
          <w:sz w:val="32"/>
          <w:szCs w:val="36"/>
        </w:rPr>
      </w:pPr>
      <w:bookmarkStart w:id="758" w:name="_Toc16500"/>
      <w:r>
        <w:rPr>
          <w:rFonts w:hint="eastAsia" w:asciiTheme="minorEastAsia" w:hAnsiTheme="minorEastAsia" w:eastAsiaTheme="minorEastAsia" w:cstheme="minorEastAsia"/>
          <w:b/>
          <w:bCs/>
          <w:sz w:val="32"/>
          <w:szCs w:val="36"/>
        </w:rPr>
        <w:t>具备履行合同所必需的设备和专业技术能力的声明格式</w:t>
      </w:r>
      <w:bookmarkEnd w:id="758"/>
    </w:p>
    <w:p w14:paraId="5F24A8BF">
      <w:pPr>
        <w:spacing w:line="360" w:lineRule="auto"/>
        <w:jc w:val="left"/>
        <w:rPr>
          <w:rFonts w:hint="eastAsia" w:ascii="宋体" w:hAnsi="宋体"/>
          <w:sz w:val="24"/>
          <w:szCs w:val="21"/>
          <w:lang w:val="zh-CN"/>
        </w:rPr>
      </w:pPr>
    </w:p>
    <w:p w14:paraId="1C6A8473">
      <w:pPr>
        <w:spacing w:line="360" w:lineRule="auto"/>
        <w:jc w:val="left"/>
        <w:rPr>
          <w:sz w:val="24"/>
        </w:rPr>
      </w:pPr>
      <w:r>
        <w:rPr>
          <w:rFonts w:hint="eastAsia"/>
          <w:sz w:val="24"/>
          <w:lang w:val="zh-CN"/>
        </w:rPr>
        <w:t>南京审计大学金审学院</w:t>
      </w:r>
      <w:r>
        <w:rPr>
          <w:rFonts w:hint="eastAsia"/>
          <w:sz w:val="24"/>
        </w:rPr>
        <w:t>：</w:t>
      </w:r>
    </w:p>
    <w:p w14:paraId="3D67FA2E">
      <w:pPr>
        <w:spacing w:line="460" w:lineRule="exact"/>
        <w:ind w:firstLine="492"/>
        <w:jc w:val="left"/>
        <w:rPr>
          <w:sz w:val="24"/>
        </w:rPr>
      </w:pPr>
      <w:r>
        <w:rPr>
          <w:rFonts w:hint="eastAsia"/>
          <w:sz w:val="24"/>
        </w:rPr>
        <w:t>我单位（供应商名称）郑重声明：我公司具备履行本项采购合同所必需的设备和专业技术能力，为履行本项采购合同我单位具备如下主要设备和主要专业技术能力：</w:t>
      </w:r>
    </w:p>
    <w:p w14:paraId="58F59EB6">
      <w:pPr>
        <w:spacing w:line="460" w:lineRule="exact"/>
        <w:ind w:firstLine="492"/>
        <w:jc w:val="left"/>
        <w:rPr>
          <w:sz w:val="24"/>
        </w:rPr>
      </w:pPr>
      <w:r>
        <w:rPr>
          <w:rFonts w:hint="eastAsia"/>
          <w:sz w:val="24"/>
        </w:rPr>
        <w:t>主要设备有：      。</w:t>
      </w:r>
      <w:r>
        <w:rPr>
          <w:rFonts w:hint="eastAsia" w:ascii="宋体" w:hAnsi="宋体"/>
          <w:sz w:val="24"/>
        </w:rPr>
        <w:t>（若有）</w:t>
      </w:r>
    </w:p>
    <w:p w14:paraId="61D68A73">
      <w:pPr>
        <w:spacing w:line="460" w:lineRule="exact"/>
        <w:ind w:firstLine="492"/>
        <w:jc w:val="left"/>
        <w:rPr>
          <w:sz w:val="24"/>
        </w:rPr>
      </w:pPr>
      <w:r>
        <w:rPr>
          <w:rFonts w:hint="eastAsia"/>
          <w:sz w:val="24"/>
        </w:rPr>
        <w:t>主要专业技术能力有：     。</w:t>
      </w:r>
      <w:r>
        <w:rPr>
          <w:rFonts w:hint="eastAsia" w:ascii="宋体" w:hAnsi="宋体"/>
          <w:sz w:val="24"/>
        </w:rPr>
        <w:t>（若有）</w:t>
      </w:r>
    </w:p>
    <w:p w14:paraId="7E8A51EA">
      <w:pPr>
        <w:spacing w:line="360" w:lineRule="auto"/>
        <w:jc w:val="left"/>
        <w:rPr>
          <w:sz w:val="24"/>
        </w:rPr>
      </w:pPr>
    </w:p>
    <w:p w14:paraId="1B756CAE">
      <w:pPr>
        <w:spacing w:line="360" w:lineRule="auto"/>
        <w:jc w:val="right"/>
        <w:rPr>
          <w:sz w:val="24"/>
        </w:rPr>
      </w:pPr>
      <w:r>
        <w:rPr>
          <w:rFonts w:hint="eastAsia"/>
          <w:sz w:val="24"/>
        </w:rPr>
        <w:t>声明人：（公章）</w:t>
      </w:r>
    </w:p>
    <w:p w14:paraId="02D70DA1">
      <w:pPr>
        <w:spacing w:line="460" w:lineRule="exact"/>
        <w:jc w:val="right"/>
        <w:rPr>
          <w:sz w:val="24"/>
        </w:rPr>
      </w:pPr>
      <w:r>
        <w:rPr>
          <w:rFonts w:hint="eastAsia"/>
          <w:sz w:val="24"/>
        </w:rPr>
        <w:t>年   月   日</w:t>
      </w:r>
    </w:p>
    <w:p w14:paraId="0F3298BB">
      <w:pPr>
        <w:spacing w:line="360" w:lineRule="auto"/>
        <w:jc w:val="left"/>
        <w:rPr>
          <w:sz w:val="24"/>
        </w:rPr>
      </w:pPr>
    </w:p>
    <w:p w14:paraId="2319FD1A">
      <w:pPr>
        <w:spacing w:line="460" w:lineRule="exact"/>
        <w:ind w:firstLine="492"/>
        <w:jc w:val="left"/>
        <w:rPr>
          <w:sz w:val="24"/>
        </w:rPr>
      </w:pPr>
      <w:r>
        <w:rPr>
          <w:rFonts w:hint="eastAsia"/>
          <w:sz w:val="24"/>
        </w:rPr>
        <w:t>其他证明材料及文件：（如果供应商认为需要提供的话）</w:t>
      </w:r>
    </w:p>
    <w:p w14:paraId="370F9DA5">
      <w:pPr>
        <w:spacing w:line="460" w:lineRule="exact"/>
        <w:ind w:firstLine="492"/>
        <w:jc w:val="left"/>
        <w:rPr>
          <w:sz w:val="24"/>
        </w:rPr>
      </w:pPr>
    </w:p>
    <w:p w14:paraId="6D1F9C8E">
      <w:pPr>
        <w:rPr>
          <w:rFonts w:hint="eastAsia" w:ascii="宋体" w:hAnsi="宋体"/>
          <w:szCs w:val="21"/>
        </w:rPr>
      </w:pPr>
    </w:p>
    <w:p w14:paraId="2ECC0FC9"/>
    <w:sectPr>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KNL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513189"/>
      <w:docPartObj>
        <w:docPartGallery w:val="AutoText"/>
      </w:docPartObj>
    </w:sdtPr>
    <w:sdtContent>
      <w:p w14:paraId="393D7AD8">
        <w:pPr>
          <w:pStyle w:val="28"/>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444869"/>
      <w:docPartObj>
        <w:docPartGallery w:val="AutoText"/>
      </w:docPartObj>
    </w:sdtPr>
    <w:sdtContent>
      <w:p w14:paraId="6C0E2585">
        <w:pPr>
          <w:pStyle w:val="28"/>
          <w:jc w:val="center"/>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ECF7">
    <w:pPr>
      <w:pStyle w:val="2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ascii="Calibri" w:hAnsi="Calibri"/>
      </w:rPr>
      <w:t>77</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CB69">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672BC"/>
    <w:multiLevelType w:val="multilevel"/>
    <w:tmpl w:val="162672BC"/>
    <w:lvl w:ilvl="0" w:tentative="0">
      <w:start w:val="1"/>
      <w:numFmt w:val="decimal"/>
      <w:lvlText w:val="%1."/>
      <w:lvlJc w:val="left"/>
      <w:pPr>
        <w:ind w:left="425" w:hanging="425"/>
      </w:pPr>
      <w:rPr>
        <w:rFonts w:hint="eastAsia"/>
      </w:rPr>
    </w:lvl>
    <w:lvl w:ilvl="1" w:tentative="0">
      <w:start w:val="1"/>
      <w:numFmt w:val="decimal"/>
      <w:lvlText w:val="%1.%2"/>
      <w:lvlJc w:val="left"/>
      <w:pPr>
        <w:ind w:left="986"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F5243"/>
    <w:multiLevelType w:val="multilevel"/>
    <w:tmpl w:val="1F4F5243"/>
    <w:lvl w:ilvl="0" w:tentative="0">
      <w:start w:val="1"/>
      <w:numFmt w:val="decimal"/>
      <w:lvlText w:val="%1"/>
      <w:lvlJc w:val="left"/>
      <w:pPr>
        <w:tabs>
          <w:tab w:val="left" w:pos="432"/>
        </w:tabs>
        <w:ind w:left="432" w:hanging="432"/>
      </w:pPr>
      <w:rPr>
        <w:rFonts w:hint="eastAsia"/>
      </w:rPr>
    </w:lvl>
    <w:lvl w:ilvl="1" w:tentative="0">
      <w:start w:val="1"/>
      <w:numFmt w:val="decimal"/>
      <w:pStyle w:val="241"/>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46351ED3"/>
    <w:multiLevelType w:val="multilevel"/>
    <w:tmpl w:val="46351ED3"/>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96028CB"/>
    <w:multiLevelType w:val="multilevel"/>
    <w:tmpl w:val="496028CB"/>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F972CAF"/>
    <w:multiLevelType w:val="multilevel"/>
    <w:tmpl w:val="4F972CAF"/>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3C895EC"/>
    <w:multiLevelType w:val="singleLevel"/>
    <w:tmpl w:val="53C895EC"/>
    <w:lvl w:ilvl="0" w:tentative="0">
      <w:start w:val="3"/>
      <w:numFmt w:val="decimal"/>
      <w:suff w:val="nothing"/>
      <w:lvlText w:val="%1、"/>
      <w:lvlJc w:val="left"/>
      <w:pPr>
        <w:ind w:left="0" w:firstLine="0"/>
      </w:pPr>
    </w:lvl>
  </w:abstractNum>
  <w:abstractNum w:abstractNumId="6">
    <w:nsid w:val="552DE5DA"/>
    <w:multiLevelType w:val="multilevel"/>
    <w:tmpl w:val="552DE5DA"/>
    <w:lvl w:ilvl="0" w:tentative="0">
      <w:start w:val="2"/>
      <w:numFmt w:val="decimal"/>
      <w:suff w:val="nothing"/>
      <w:lvlText w:val="%1、"/>
      <w:lvlJc w:val="left"/>
      <w:pPr>
        <w:ind w:left="0" w:firstLine="0"/>
      </w:pPr>
    </w:lvl>
    <w:lvl w:ilvl="1" w:tentative="0">
      <w:start w:val="0"/>
      <w:numFmt w:val="bullet"/>
      <w:lvlText w:val="•"/>
      <w:lvlJc w:val="left"/>
      <w:pPr>
        <w:ind w:left="1978" w:hanging="159"/>
      </w:pPr>
      <w:rPr>
        <w:rFonts w:hint="default"/>
        <w:lang w:val="zh-CN" w:eastAsia="zh-CN" w:bidi="zh-CN"/>
      </w:rPr>
    </w:lvl>
    <w:lvl w:ilvl="2" w:tentative="0">
      <w:start w:val="0"/>
      <w:numFmt w:val="bullet"/>
      <w:lvlText w:val="•"/>
      <w:lvlJc w:val="left"/>
      <w:pPr>
        <w:ind w:left="2217" w:hanging="159"/>
      </w:pPr>
      <w:rPr>
        <w:rFonts w:hint="default"/>
        <w:lang w:val="zh-CN" w:eastAsia="zh-CN" w:bidi="zh-CN"/>
      </w:rPr>
    </w:lvl>
    <w:lvl w:ilvl="3" w:tentative="0">
      <w:start w:val="0"/>
      <w:numFmt w:val="bullet"/>
      <w:lvlText w:val="•"/>
      <w:lvlJc w:val="left"/>
      <w:pPr>
        <w:ind w:left="2456" w:hanging="159"/>
      </w:pPr>
      <w:rPr>
        <w:rFonts w:hint="default"/>
        <w:lang w:val="zh-CN" w:eastAsia="zh-CN" w:bidi="zh-CN"/>
      </w:rPr>
    </w:lvl>
    <w:lvl w:ilvl="4" w:tentative="0">
      <w:start w:val="0"/>
      <w:numFmt w:val="bullet"/>
      <w:lvlText w:val="•"/>
      <w:lvlJc w:val="left"/>
      <w:pPr>
        <w:ind w:left="2695" w:hanging="159"/>
      </w:pPr>
      <w:rPr>
        <w:rFonts w:hint="default"/>
        <w:lang w:val="zh-CN" w:eastAsia="zh-CN" w:bidi="zh-CN"/>
      </w:rPr>
    </w:lvl>
    <w:lvl w:ilvl="5" w:tentative="0">
      <w:start w:val="0"/>
      <w:numFmt w:val="bullet"/>
      <w:lvlText w:val="•"/>
      <w:lvlJc w:val="left"/>
      <w:pPr>
        <w:ind w:left="2934" w:hanging="159"/>
      </w:pPr>
      <w:rPr>
        <w:rFonts w:hint="default"/>
        <w:lang w:val="zh-CN" w:eastAsia="zh-CN" w:bidi="zh-CN"/>
      </w:rPr>
    </w:lvl>
    <w:lvl w:ilvl="6" w:tentative="0">
      <w:start w:val="0"/>
      <w:numFmt w:val="bullet"/>
      <w:lvlText w:val="•"/>
      <w:lvlJc w:val="left"/>
      <w:pPr>
        <w:ind w:left="3173" w:hanging="159"/>
      </w:pPr>
      <w:rPr>
        <w:rFonts w:hint="default"/>
        <w:lang w:val="zh-CN" w:eastAsia="zh-CN" w:bidi="zh-CN"/>
      </w:rPr>
    </w:lvl>
    <w:lvl w:ilvl="7" w:tentative="0">
      <w:start w:val="0"/>
      <w:numFmt w:val="bullet"/>
      <w:lvlText w:val="•"/>
      <w:lvlJc w:val="left"/>
      <w:pPr>
        <w:ind w:left="3412" w:hanging="159"/>
      </w:pPr>
      <w:rPr>
        <w:rFonts w:hint="default"/>
        <w:lang w:val="zh-CN" w:eastAsia="zh-CN" w:bidi="zh-CN"/>
      </w:rPr>
    </w:lvl>
    <w:lvl w:ilvl="8" w:tentative="0">
      <w:start w:val="0"/>
      <w:numFmt w:val="bullet"/>
      <w:lvlText w:val="•"/>
      <w:lvlJc w:val="left"/>
      <w:pPr>
        <w:ind w:left="3651" w:hanging="159"/>
      </w:pPr>
      <w:rPr>
        <w:rFonts w:hint="default"/>
        <w:lang w:val="zh-CN" w:eastAsia="zh-CN" w:bidi="zh-CN"/>
      </w:rPr>
    </w:lvl>
  </w:abstractNum>
  <w:abstractNum w:abstractNumId="7">
    <w:nsid w:val="56E6151B"/>
    <w:multiLevelType w:val="singleLevel"/>
    <w:tmpl w:val="56E6151B"/>
    <w:lvl w:ilvl="0" w:tentative="0">
      <w:start w:val="1"/>
      <w:numFmt w:val="decimal"/>
      <w:suff w:val="nothing"/>
      <w:lvlText w:val="%1."/>
      <w:lvlJc w:val="left"/>
      <w:pPr>
        <w:ind w:left="0" w:firstLine="0"/>
      </w:pPr>
    </w:lvl>
  </w:abstractNum>
  <w:abstractNum w:abstractNumId="8">
    <w:nsid w:val="6B6F3DDE"/>
    <w:multiLevelType w:val="multilevel"/>
    <w:tmpl w:val="6B6F3DDE"/>
    <w:lvl w:ilvl="0" w:tentative="0">
      <w:start w:val="1"/>
      <w:numFmt w:val="decimal"/>
      <w:lvlText w:val="（%1）"/>
      <w:lvlJc w:val="left"/>
      <w:pPr>
        <w:ind w:left="735" w:hanging="420"/>
      </w:pPr>
      <w:rPr>
        <w:color w:val="FF0000"/>
        <w:lang w:val="en-US"/>
      </w:rPr>
    </w:lvl>
    <w:lvl w:ilvl="1" w:tentative="0">
      <w:start w:val="1"/>
      <w:numFmt w:val="decimal"/>
      <w:lvlText w:val="%2、"/>
      <w:lvlJc w:val="left"/>
      <w:pPr>
        <w:ind w:left="1414" w:hanging="705"/>
      </w:pPr>
      <w:rPr>
        <w:rFonts w:hint="default"/>
      </w:r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9">
    <w:nsid w:val="789671CB"/>
    <w:multiLevelType w:val="multilevel"/>
    <w:tmpl w:val="789671CB"/>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9"/>
  </w:num>
  <w:num w:numId="3">
    <w:abstractNumId w:val="0"/>
  </w:num>
  <w:num w:numId="4">
    <w:abstractNumId w:val="4"/>
  </w:num>
  <w:num w:numId="5">
    <w:abstractNumId w:val="7"/>
    <w:lvlOverride w:ilvl="0">
      <w:startOverride w:val="1"/>
    </w:lvlOverride>
  </w:num>
  <w:num w:numId="6">
    <w:abstractNumId w:val="5"/>
    <w:lvlOverride w:ilvl="0">
      <w:startOverride w:val="3"/>
    </w:lvlOverride>
  </w:num>
  <w:num w:numId="7">
    <w:abstractNumId w:val="6"/>
    <w:lvlOverride w:ilvl="0">
      <w:startOverride w:val="2"/>
    </w:lvlOverride>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EC"/>
    <w:rsid w:val="00005342"/>
    <w:rsid w:val="00042366"/>
    <w:rsid w:val="000744BA"/>
    <w:rsid w:val="000934AD"/>
    <w:rsid w:val="000C4A39"/>
    <w:rsid w:val="000C5866"/>
    <w:rsid w:val="000E2ED1"/>
    <w:rsid w:val="001004C8"/>
    <w:rsid w:val="00102583"/>
    <w:rsid w:val="00156A71"/>
    <w:rsid w:val="00194E6C"/>
    <w:rsid w:val="001A0CC4"/>
    <w:rsid w:val="001D3F7A"/>
    <w:rsid w:val="001F7554"/>
    <w:rsid w:val="0020346E"/>
    <w:rsid w:val="0024152A"/>
    <w:rsid w:val="0025191E"/>
    <w:rsid w:val="00263911"/>
    <w:rsid w:val="002F318B"/>
    <w:rsid w:val="00315D1E"/>
    <w:rsid w:val="003C4862"/>
    <w:rsid w:val="00421194"/>
    <w:rsid w:val="0043375F"/>
    <w:rsid w:val="00434E09"/>
    <w:rsid w:val="00437B18"/>
    <w:rsid w:val="0046257A"/>
    <w:rsid w:val="004A2BE2"/>
    <w:rsid w:val="004F7E19"/>
    <w:rsid w:val="005C3A0D"/>
    <w:rsid w:val="006027FD"/>
    <w:rsid w:val="0066238F"/>
    <w:rsid w:val="006E5AF4"/>
    <w:rsid w:val="006E66E9"/>
    <w:rsid w:val="006F4E05"/>
    <w:rsid w:val="00740448"/>
    <w:rsid w:val="00771B01"/>
    <w:rsid w:val="00774606"/>
    <w:rsid w:val="007A3544"/>
    <w:rsid w:val="007B1261"/>
    <w:rsid w:val="007B1D3B"/>
    <w:rsid w:val="007B75BC"/>
    <w:rsid w:val="007E21D1"/>
    <w:rsid w:val="008570EC"/>
    <w:rsid w:val="00886DFC"/>
    <w:rsid w:val="008A7DE4"/>
    <w:rsid w:val="008C2581"/>
    <w:rsid w:val="00946C77"/>
    <w:rsid w:val="00972A54"/>
    <w:rsid w:val="00986BF1"/>
    <w:rsid w:val="00A1586A"/>
    <w:rsid w:val="00A36FB6"/>
    <w:rsid w:val="00A51650"/>
    <w:rsid w:val="00AE7DFC"/>
    <w:rsid w:val="00B41F81"/>
    <w:rsid w:val="00B81848"/>
    <w:rsid w:val="00B96481"/>
    <w:rsid w:val="00C22F1B"/>
    <w:rsid w:val="00CD485D"/>
    <w:rsid w:val="00CE1F95"/>
    <w:rsid w:val="00D04D02"/>
    <w:rsid w:val="00D11796"/>
    <w:rsid w:val="00D15ED2"/>
    <w:rsid w:val="00D343B8"/>
    <w:rsid w:val="00D72370"/>
    <w:rsid w:val="00D803B4"/>
    <w:rsid w:val="00DB2838"/>
    <w:rsid w:val="00E24F2C"/>
    <w:rsid w:val="00E420F3"/>
    <w:rsid w:val="00E83DAC"/>
    <w:rsid w:val="00EE756F"/>
    <w:rsid w:val="00FA3EF3"/>
    <w:rsid w:val="00FB4F6C"/>
    <w:rsid w:val="705F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1"/>
      <w:szCs w:val="24"/>
      <w:lang w:val="en-US" w:eastAsia="zh-CN" w:bidi="ar-SA"/>
    </w:rPr>
  </w:style>
  <w:style w:type="paragraph" w:styleId="2">
    <w:name w:val="heading 1"/>
    <w:basedOn w:val="1"/>
    <w:next w:val="1"/>
    <w:link w:val="55"/>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6"/>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7"/>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8"/>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59"/>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60"/>
    <w:unhideWhenUsed/>
    <w:qFormat/>
    <w:uiPriority w:val="0"/>
    <w:pPr>
      <w:keepNext/>
      <w:keepLines/>
      <w:spacing w:before="40"/>
      <w:outlineLvl w:val="5"/>
    </w:pPr>
    <w:rPr>
      <w:rFonts w:cstheme="majorBidi"/>
      <w:b/>
      <w:bCs/>
      <w:color w:val="2F5597" w:themeColor="accent1" w:themeShade="BF"/>
    </w:rPr>
  </w:style>
  <w:style w:type="paragraph" w:styleId="8">
    <w:name w:val="heading 7"/>
    <w:basedOn w:val="1"/>
    <w:next w:val="1"/>
    <w:link w:val="61"/>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2"/>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3"/>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pPr>
    <w:rPr>
      <w:rFonts w:ascii="Calibri" w:hAnsi="Calibri"/>
      <w:szCs w:val="22"/>
    </w:rPr>
  </w:style>
  <w:style w:type="paragraph" w:styleId="12">
    <w:name w:val="Normal Indent"/>
    <w:basedOn w:val="1"/>
    <w:link w:val="275"/>
    <w:qFormat/>
    <w:uiPriority w:val="0"/>
    <w:pPr>
      <w:spacing w:line="315" w:lineRule="atLeast"/>
      <w:ind w:firstLine="420"/>
      <w:jc w:val="left"/>
    </w:pPr>
    <w:rPr>
      <w:rFonts w:ascii="楷体_GB2312" w:eastAsia="楷体_GB2312"/>
      <w:sz w:val="28"/>
      <w:szCs w:val="20"/>
    </w:rPr>
  </w:style>
  <w:style w:type="paragraph" w:styleId="13">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4">
    <w:name w:val="Document Map"/>
    <w:basedOn w:val="1"/>
    <w:link w:val="75"/>
    <w:semiHidden/>
    <w:qFormat/>
    <w:uiPriority w:val="0"/>
    <w:rPr>
      <w:rFonts w:ascii="宋体"/>
      <w:sz w:val="18"/>
      <w:szCs w:val="18"/>
    </w:rPr>
  </w:style>
  <w:style w:type="paragraph" w:styleId="15">
    <w:name w:val="annotation text"/>
    <w:basedOn w:val="1"/>
    <w:link w:val="76"/>
    <w:unhideWhenUsed/>
    <w:qFormat/>
    <w:uiPriority w:val="0"/>
    <w:pPr>
      <w:jc w:val="left"/>
    </w:pPr>
  </w:style>
  <w:style w:type="paragraph" w:styleId="16">
    <w:name w:val="Body Text 3"/>
    <w:basedOn w:val="1"/>
    <w:link w:val="77"/>
    <w:unhideWhenUsed/>
    <w:qFormat/>
    <w:uiPriority w:val="99"/>
    <w:pPr>
      <w:spacing w:after="120"/>
    </w:pPr>
    <w:rPr>
      <w:sz w:val="16"/>
      <w:szCs w:val="16"/>
    </w:rPr>
  </w:style>
  <w:style w:type="paragraph" w:styleId="17">
    <w:name w:val="Body Text"/>
    <w:basedOn w:val="1"/>
    <w:link w:val="78"/>
    <w:qFormat/>
    <w:uiPriority w:val="0"/>
    <w:rPr>
      <w:sz w:val="28"/>
      <w:szCs w:val="20"/>
    </w:rPr>
  </w:style>
  <w:style w:type="paragraph" w:styleId="18">
    <w:name w:val="Body Text Indent"/>
    <w:basedOn w:val="1"/>
    <w:link w:val="79"/>
    <w:qFormat/>
    <w:uiPriority w:val="0"/>
    <w:pPr>
      <w:spacing w:after="120" w:line="360" w:lineRule="atLeast"/>
      <w:ind w:left="900"/>
    </w:pPr>
    <w:rPr>
      <w:rFonts w:ascii="楷体_GB2312" w:eastAsia="楷体_GB2312"/>
      <w:sz w:val="28"/>
      <w:szCs w:val="20"/>
    </w:rPr>
  </w:style>
  <w:style w:type="paragraph" w:styleId="19">
    <w:name w:val="List 2"/>
    <w:basedOn w:val="1"/>
    <w:qFormat/>
    <w:uiPriority w:val="0"/>
    <w:pPr>
      <w:ind w:left="100" w:hanging="200"/>
    </w:pPr>
  </w:style>
  <w:style w:type="paragraph" w:styleId="20">
    <w:name w:val="toc 5"/>
    <w:basedOn w:val="1"/>
    <w:next w:val="1"/>
    <w:unhideWhenUsed/>
    <w:qFormat/>
    <w:uiPriority w:val="39"/>
    <w:pPr>
      <w:ind w:left="1680"/>
    </w:pPr>
    <w:rPr>
      <w:rFonts w:ascii="Calibri" w:hAnsi="Calibri"/>
      <w:szCs w:val="22"/>
    </w:rPr>
  </w:style>
  <w:style w:type="paragraph" w:styleId="21">
    <w:name w:val="toc 3"/>
    <w:basedOn w:val="1"/>
    <w:next w:val="1"/>
    <w:unhideWhenUsed/>
    <w:qFormat/>
    <w:uiPriority w:val="39"/>
    <w:pPr>
      <w:widowControl/>
      <w:spacing w:line="440" w:lineRule="exact"/>
      <w:ind w:left="442"/>
      <w:jc w:val="left"/>
    </w:pPr>
    <w:rPr>
      <w:rFonts w:asciiTheme="minorHAnsi" w:hAnsiTheme="minorHAnsi" w:cstheme="minorBidi"/>
      <w:szCs w:val="22"/>
    </w:rPr>
  </w:style>
  <w:style w:type="paragraph" w:styleId="22">
    <w:name w:val="Plain Text"/>
    <w:basedOn w:val="1"/>
    <w:link w:val="80"/>
    <w:qFormat/>
    <w:uiPriority w:val="0"/>
    <w:rPr>
      <w:rFonts w:ascii="宋体" w:hAnsi="Courier New"/>
      <w:szCs w:val="20"/>
    </w:rPr>
  </w:style>
  <w:style w:type="paragraph" w:styleId="23">
    <w:name w:val="toc 8"/>
    <w:basedOn w:val="1"/>
    <w:next w:val="1"/>
    <w:unhideWhenUsed/>
    <w:qFormat/>
    <w:uiPriority w:val="39"/>
    <w:pPr>
      <w:ind w:left="2940"/>
    </w:pPr>
    <w:rPr>
      <w:rFonts w:ascii="Calibri" w:hAnsi="Calibri"/>
      <w:szCs w:val="22"/>
    </w:rPr>
  </w:style>
  <w:style w:type="paragraph" w:styleId="24">
    <w:name w:val="Date"/>
    <w:basedOn w:val="1"/>
    <w:next w:val="1"/>
    <w:link w:val="81"/>
    <w:qFormat/>
    <w:uiPriority w:val="0"/>
    <w:pPr>
      <w:ind w:left="100"/>
    </w:pPr>
    <w:rPr>
      <w:szCs w:val="20"/>
    </w:rPr>
  </w:style>
  <w:style w:type="paragraph" w:styleId="25">
    <w:name w:val="Body Text Indent 2"/>
    <w:basedOn w:val="1"/>
    <w:link w:val="82"/>
    <w:qFormat/>
    <w:uiPriority w:val="0"/>
    <w:pPr>
      <w:spacing w:line="480" w:lineRule="auto"/>
      <w:ind w:firstLine="480"/>
    </w:pPr>
    <w:rPr>
      <w:rFonts w:ascii="仿宋_GB2312" w:hAnsi="宋体" w:eastAsia="仿宋_GB2312"/>
      <w:sz w:val="24"/>
    </w:rPr>
  </w:style>
  <w:style w:type="paragraph" w:styleId="26">
    <w:name w:val="endnote text"/>
    <w:basedOn w:val="1"/>
    <w:link w:val="83"/>
    <w:semiHidden/>
    <w:unhideWhenUsed/>
    <w:qFormat/>
    <w:uiPriority w:val="99"/>
    <w:rPr>
      <w:sz w:val="20"/>
    </w:rPr>
  </w:style>
  <w:style w:type="paragraph" w:styleId="27">
    <w:name w:val="Balloon Text"/>
    <w:basedOn w:val="1"/>
    <w:link w:val="84"/>
    <w:unhideWhenUsed/>
    <w:qFormat/>
    <w:uiPriority w:val="0"/>
    <w:rPr>
      <w:sz w:val="18"/>
      <w:szCs w:val="18"/>
    </w:rPr>
  </w:style>
  <w:style w:type="paragraph" w:styleId="28">
    <w:name w:val="footer"/>
    <w:basedOn w:val="1"/>
    <w:link w:val="74"/>
    <w:unhideWhenUsed/>
    <w:qFormat/>
    <w:uiPriority w:val="99"/>
    <w:pPr>
      <w:tabs>
        <w:tab w:val="center" w:pos="4153"/>
        <w:tab w:val="right" w:pos="8306"/>
      </w:tabs>
      <w:snapToGrid w:val="0"/>
      <w:jc w:val="left"/>
    </w:pPr>
    <w:rPr>
      <w:sz w:val="18"/>
      <w:szCs w:val="18"/>
    </w:rPr>
  </w:style>
  <w:style w:type="paragraph" w:styleId="29">
    <w:name w:val="envelope return"/>
    <w:basedOn w:val="1"/>
    <w:qFormat/>
    <w:uiPriority w:val="0"/>
    <w:rPr>
      <w:rFonts w:ascii="Arial" w:hAnsi="Arial"/>
    </w:rPr>
  </w:style>
  <w:style w:type="paragraph" w:styleId="30">
    <w:name w:val="header"/>
    <w:basedOn w:val="1"/>
    <w:link w:val="73"/>
    <w:unhideWhenUsed/>
    <w:qFormat/>
    <w:uiPriority w:val="99"/>
    <w:pPr>
      <w:tabs>
        <w:tab w:val="center" w:pos="4153"/>
        <w:tab w:val="right" w:pos="8306"/>
      </w:tabs>
      <w:snapToGrid w:val="0"/>
      <w:jc w:val="center"/>
    </w:pPr>
    <w:rPr>
      <w:sz w:val="18"/>
      <w:szCs w:val="18"/>
    </w:rPr>
  </w:style>
  <w:style w:type="paragraph" w:styleId="31">
    <w:name w:val="toc 1"/>
    <w:basedOn w:val="1"/>
    <w:next w:val="1"/>
    <w:unhideWhenUsed/>
    <w:qFormat/>
    <w:uiPriority w:val="39"/>
    <w:pPr>
      <w:tabs>
        <w:tab w:val="left" w:pos="426"/>
        <w:tab w:val="right" w:leader="dot" w:pos="8494"/>
      </w:tabs>
    </w:pPr>
  </w:style>
  <w:style w:type="paragraph" w:styleId="32">
    <w:name w:val="toc 4"/>
    <w:basedOn w:val="1"/>
    <w:next w:val="1"/>
    <w:unhideWhenUsed/>
    <w:qFormat/>
    <w:uiPriority w:val="39"/>
    <w:pPr>
      <w:ind w:left="1260"/>
    </w:pPr>
    <w:rPr>
      <w:rFonts w:ascii="Calibri" w:hAnsi="Calibri"/>
      <w:szCs w:val="22"/>
    </w:rPr>
  </w:style>
  <w:style w:type="paragraph" w:styleId="33">
    <w:name w:val="Subtitle"/>
    <w:basedOn w:val="1"/>
    <w:next w:val="1"/>
    <w:link w:val="65"/>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footnote text"/>
    <w:basedOn w:val="1"/>
    <w:link w:val="85"/>
    <w:qFormat/>
    <w:uiPriority w:val="0"/>
    <w:rPr>
      <w:sz w:val="20"/>
      <w:szCs w:val="20"/>
    </w:rPr>
  </w:style>
  <w:style w:type="paragraph" w:styleId="35">
    <w:name w:val="toc 6"/>
    <w:basedOn w:val="1"/>
    <w:next w:val="1"/>
    <w:unhideWhenUsed/>
    <w:qFormat/>
    <w:uiPriority w:val="39"/>
    <w:pPr>
      <w:ind w:left="2100"/>
    </w:pPr>
    <w:rPr>
      <w:rFonts w:ascii="Calibri" w:hAnsi="Calibri"/>
      <w:szCs w:val="22"/>
    </w:rPr>
  </w:style>
  <w:style w:type="paragraph" w:styleId="36">
    <w:name w:val="Body Text Indent 3"/>
    <w:basedOn w:val="1"/>
    <w:link w:val="86"/>
    <w:qFormat/>
    <w:uiPriority w:val="0"/>
    <w:pPr>
      <w:spacing w:after="120" w:line="360" w:lineRule="atLeast"/>
      <w:ind w:firstLine="720"/>
    </w:pPr>
    <w:rPr>
      <w:sz w:val="24"/>
      <w:szCs w:val="20"/>
    </w:rPr>
  </w:style>
  <w:style w:type="paragraph" w:styleId="37">
    <w:name w:val="table of figures"/>
    <w:basedOn w:val="1"/>
    <w:next w:val="1"/>
    <w:unhideWhenUsed/>
    <w:qFormat/>
    <w:uiPriority w:val="99"/>
  </w:style>
  <w:style w:type="paragraph" w:styleId="38">
    <w:name w:val="toc 2"/>
    <w:basedOn w:val="1"/>
    <w:next w:val="1"/>
    <w:qFormat/>
    <w:uiPriority w:val="39"/>
    <w:pPr>
      <w:tabs>
        <w:tab w:val="left" w:pos="567"/>
        <w:tab w:val="right" w:leader="dot" w:pos="8505"/>
        <w:tab w:val="right" w:leader="dot" w:pos="9628"/>
      </w:tabs>
      <w:spacing w:line="440" w:lineRule="exact"/>
    </w:pPr>
  </w:style>
  <w:style w:type="paragraph" w:styleId="39">
    <w:name w:val="toc 9"/>
    <w:basedOn w:val="1"/>
    <w:next w:val="1"/>
    <w:unhideWhenUsed/>
    <w:qFormat/>
    <w:uiPriority w:val="39"/>
    <w:pPr>
      <w:ind w:left="3360"/>
    </w:pPr>
    <w:rPr>
      <w:rFonts w:ascii="Calibri" w:hAnsi="Calibri"/>
      <w:szCs w:val="22"/>
    </w:rPr>
  </w:style>
  <w:style w:type="paragraph" w:styleId="40">
    <w:name w:val="Body Text 2"/>
    <w:basedOn w:val="1"/>
    <w:link w:val="87"/>
    <w:unhideWhenUsed/>
    <w:qFormat/>
    <w:uiPriority w:val="99"/>
    <w:pPr>
      <w:jc w:val="left"/>
    </w:pPr>
    <w:rPr>
      <w:rFonts w:ascii="仿宋_GB2312" w:hAnsi="宋体" w:eastAsia="仿宋_GB2312"/>
    </w:rPr>
  </w:style>
  <w:style w:type="paragraph" w:styleId="41">
    <w:name w:val="Normal (Web)"/>
    <w:basedOn w:val="1"/>
    <w:unhideWhenUsed/>
    <w:qFormat/>
    <w:uiPriority w:val="99"/>
    <w:pPr>
      <w:spacing w:beforeAutospacing="1" w:afterAutospacing="1"/>
      <w:jc w:val="left"/>
    </w:pPr>
    <w:rPr>
      <w:sz w:val="24"/>
    </w:rPr>
  </w:style>
  <w:style w:type="paragraph" w:styleId="42">
    <w:name w:val="Title"/>
    <w:basedOn w:val="1"/>
    <w:next w:val="1"/>
    <w:link w:val="6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3">
    <w:name w:val="annotation subject"/>
    <w:basedOn w:val="15"/>
    <w:next w:val="15"/>
    <w:link w:val="88"/>
    <w:semiHidden/>
    <w:qFormat/>
    <w:uiPriority w:val="0"/>
    <w:rPr>
      <w:b/>
      <w:bCs/>
      <w:szCs w:val="20"/>
    </w:rPr>
  </w:style>
  <w:style w:type="paragraph" w:styleId="44">
    <w:name w:val="Body Text First Indent 2"/>
    <w:basedOn w:val="18"/>
    <w:link w:val="89"/>
    <w:qFormat/>
    <w:uiPriority w:val="0"/>
    <w:pPr>
      <w:spacing w:line="240" w:lineRule="auto"/>
      <w:ind w:left="420" w:firstLine="420"/>
    </w:pPr>
    <w:rPr>
      <w:sz w:val="21"/>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basedOn w:val="47"/>
    <w:qFormat/>
    <w:uiPriority w:val="22"/>
    <w:rPr>
      <w:b/>
    </w:rPr>
  </w:style>
  <w:style w:type="character" w:styleId="49">
    <w:name w:val="endnote reference"/>
    <w:basedOn w:val="47"/>
    <w:semiHidden/>
    <w:unhideWhenUsed/>
    <w:qFormat/>
    <w:uiPriority w:val="99"/>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标题 1 字符"/>
    <w:basedOn w:val="47"/>
    <w:link w:val="2"/>
    <w:qFormat/>
    <w:uiPriority w:val="0"/>
    <w:rPr>
      <w:rFonts w:asciiTheme="majorHAnsi" w:hAnsiTheme="majorHAnsi" w:eastAsiaTheme="majorEastAsia" w:cstheme="majorBidi"/>
      <w:color w:val="2F5597" w:themeColor="accent1" w:themeShade="BF"/>
      <w:sz w:val="48"/>
      <w:szCs w:val="48"/>
    </w:rPr>
  </w:style>
  <w:style w:type="character" w:customStyle="1" w:styleId="56">
    <w:name w:val="标题 2 字符"/>
    <w:basedOn w:val="47"/>
    <w:link w:val="3"/>
    <w:qFormat/>
    <w:uiPriority w:val="9"/>
    <w:rPr>
      <w:rFonts w:asciiTheme="majorHAnsi" w:hAnsiTheme="majorHAnsi" w:eastAsiaTheme="majorEastAsia" w:cstheme="majorBidi"/>
      <w:color w:val="2F5597" w:themeColor="accent1" w:themeShade="BF"/>
      <w:sz w:val="40"/>
      <w:szCs w:val="40"/>
    </w:rPr>
  </w:style>
  <w:style w:type="character" w:customStyle="1" w:styleId="57">
    <w:name w:val="标题 3 字符"/>
    <w:basedOn w:val="47"/>
    <w:link w:val="4"/>
    <w:qFormat/>
    <w:uiPriority w:val="0"/>
    <w:rPr>
      <w:rFonts w:asciiTheme="majorHAnsi" w:hAnsiTheme="majorHAnsi" w:eastAsiaTheme="majorEastAsia" w:cstheme="majorBidi"/>
      <w:color w:val="2F5597" w:themeColor="accent1" w:themeShade="BF"/>
      <w:sz w:val="32"/>
      <w:szCs w:val="32"/>
    </w:rPr>
  </w:style>
  <w:style w:type="character" w:customStyle="1" w:styleId="58">
    <w:name w:val="标题 4 字符"/>
    <w:basedOn w:val="47"/>
    <w:link w:val="5"/>
    <w:qFormat/>
    <w:uiPriority w:val="9"/>
    <w:rPr>
      <w:rFonts w:cstheme="majorBidi"/>
      <w:color w:val="2F5597" w:themeColor="accent1" w:themeShade="BF"/>
      <w:sz w:val="28"/>
      <w:szCs w:val="28"/>
    </w:rPr>
  </w:style>
  <w:style w:type="character" w:customStyle="1" w:styleId="59">
    <w:name w:val="标题 5 字符"/>
    <w:basedOn w:val="47"/>
    <w:link w:val="6"/>
    <w:qFormat/>
    <w:uiPriority w:val="0"/>
    <w:rPr>
      <w:rFonts w:cstheme="majorBidi"/>
      <w:color w:val="2F5597" w:themeColor="accent1" w:themeShade="BF"/>
      <w:sz w:val="24"/>
      <w:szCs w:val="24"/>
    </w:rPr>
  </w:style>
  <w:style w:type="character" w:customStyle="1" w:styleId="60">
    <w:name w:val="标题 6 字符"/>
    <w:basedOn w:val="47"/>
    <w:link w:val="7"/>
    <w:qFormat/>
    <w:uiPriority w:val="0"/>
    <w:rPr>
      <w:rFonts w:cstheme="majorBidi"/>
      <w:b/>
      <w:bCs/>
      <w:color w:val="2F5597" w:themeColor="accent1" w:themeShade="BF"/>
    </w:rPr>
  </w:style>
  <w:style w:type="character" w:customStyle="1" w:styleId="61">
    <w:name w:val="标题 7 字符"/>
    <w:basedOn w:val="47"/>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62">
    <w:name w:val="标题 8 字符"/>
    <w:basedOn w:val="47"/>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63">
    <w:name w:val="标题 9 字符"/>
    <w:basedOn w:val="47"/>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4">
    <w:name w:val="标题 字符"/>
    <w:basedOn w:val="47"/>
    <w:link w:val="42"/>
    <w:qFormat/>
    <w:uiPriority w:val="10"/>
    <w:rPr>
      <w:rFonts w:asciiTheme="majorHAnsi" w:hAnsiTheme="majorHAnsi" w:eastAsiaTheme="majorEastAsia" w:cstheme="majorBidi"/>
      <w:spacing w:val="-10"/>
      <w:kern w:val="28"/>
      <w:sz w:val="56"/>
      <w:szCs w:val="56"/>
    </w:rPr>
  </w:style>
  <w:style w:type="character" w:customStyle="1" w:styleId="65">
    <w:name w:val="副标题 字符"/>
    <w:basedOn w:val="47"/>
    <w:link w:val="33"/>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6">
    <w:name w:val="Quote"/>
    <w:basedOn w:val="1"/>
    <w:next w:val="1"/>
    <w:link w:val="6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7">
    <w:name w:val="引用 字符"/>
    <w:basedOn w:val="47"/>
    <w:link w:val="66"/>
    <w:qFormat/>
    <w:uiPriority w:val="29"/>
    <w:rPr>
      <w:i/>
      <w:iCs/>
      <w:color w:val="404040" w:themeColor="text1" w:themeTint="BF"/>
      <w14:textFill>
        <w14:solidFill>
          <w14:schemeClr w14:val="tx1">
            <w14:lumMod w14:val="75000"/>
            <w14:lumOff w14:val="25000"/>
          </w14:schemeClr>
        </w14:solidFill>
      </w14:textFill>
    </w:rPr>
  </w:style>
  <w:style w:type="paragraph" w:styleId="68">
    <w:name w:val="List Paragraph"/>
    <w:basedOn w:val="1"/>
    <w:qFormat/>
    <w:uiPriority w:val="1"/>
    <w:pPr>
      <w:ind w:left="720"/>
      <w:contextualSpacing/>
    </w:pPr>
  </w:style>
  <w:style w:type="character" w:customStyle="1" w:styleId="69">
    <w:name w:val="Intense Emphasis"/>
    <w:basedOn w:val="47"/>
    <w:qFormat/>
    <w:uiPriority w:val="21"/>
    <w:rPr>
      <w:i/>
      <w:iCs/>
      <w:color w:val="2F5597" w:themeColor="accent1" w:themeShade="BF"/>
    </w:rPr>
  </w:style>
  <w:style w:type="paragraph" w:styleId="70">
    <w:name w:val="Intense Quote"/>
    <w:basedOn w:val="1"/>
    <w:next w:val="1"/>
    <w:link w:val="7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1">
    <w:name w:val="明显引用 字符"/>
    <w:basedOn w:val="47"/>
    <w:link w:val="70"/>
    <w:qFormat/>
    <w:uiPriority w:val="30"/>
    <w:rPr>
      <w:i/>
      <w:iCs/>
      <w:color w:val="2F5597" w:themeColor="accent1" w:themeShade="BF"/>
    </w:rPr>
  </w:style>
  <w:style w:type="character" w:customStyle="1" w:styleId="72">
    <w:name w:val="Intense Reference"/>
    <w:basedOn w:val="47"/>
    <w:qFormat/>
    <w:uiPriority w:val="32"/>
    <w:rPr>
      <w:b/>
      <w:bCs/>
      <w:smallCaps/>
      <w:color w:val="2F5597" w:themeColor="accent1" w:themeShade="BF"/>
      <w:spacing w:val="5"/>
    </w:rPr>
  </w:style>
  <w:style w:type="character" w:customStyle="1" w:styleId="73">
    <w:name w:val="页眉 字符"/>
    <w:basedOn w:val="47"/>
    <w:link w:val="30"/>
    <w:qFormat/>
    <w:uiPriority w:val="99"/>
    <w:rPr>
      <w:sz w:val="18"/>
      <w:szCs w:val="18"/>
    </w:rPr>
  </w:style>
  <w:style w:type="character" w:customStyle="1" w:styleId="74">
    <w:name w:val="页脚 字符"/>
    <w:basedOn w:val="47"/>
    <w:link w:val="28"/>
    <w:qFormat/>
    <w:uiPriority w:val="99"/>
    <w:rPr>
      <w:sz w:val="18"/>
      <w:szCs w:val="18"/>
    </w:rPr>
  </w:style>
  <w:style w:type="character" w:customStyle="1" w:styleId="75">
    <w:name w:val="文档结构图 字符"/>
    <w:basedOn w:val="47"/>
    <w:link w:val="14"/>
    <w:semiHidden/>
    <w:qFormat/>
    <w:uiPriority w:val="0"/>
    <w:rPr>
      <w:rFonts w:ascii="宋体" w:hAnsi="Times New Roman" w:eastAsia="宋体" w:cs="Times New Roman"/>
      <w:kern w:val="0"/>
      <w:sz w:val="18"/>
      <w:szCs w:val="18"/>
    </w:rPr>
  </w:style>
  <w:style w:type="character" w:customStyle="1" w:styleId="76">
    <w:name w:val="批注文字 字符"/>
    <w:basedOn w:val="47"/>
    <w:link w:val="15"/>
    <w:qFormat/>
    <w:uiPriority w:val="0"/>
    <w:rPr>
      <w:rFonts w:ascii="Times New Roman" w:hAnsi="Times New Roman" w:eastAsia="宋体" w:cs="Times New Roman"/>
      <w:kern w:val="0"/>
      <w:szCs w:val="24"/>
    </w:rPr>
  </w:style>
  <w:style w:type="character" w:customStyle="1" w:styleId="77">
    <w:name w:val="正文文本 3 字符"/>
    <w:basedOn w:val="47"/>
    <w:link w:val="16"/>
    <w:qFormat/>
    <w:uiPriority w:val="99"/>
    <w:rPr>
      <w:rFonts w:ascii="Times New Roman" w:hAnsi="Times New Roman" w:eastAsia="宋体" w:cs="Times New Roman"/>
      <w:kern w:val="0"/>
      <w:sz w:val="16"/>
      <w:szCs w:val="16"/>
    </w:rPr>
  </w:style>
  <w:style w:type="character" w:customStyle="1" w:styleId="78">
    <w:name w:val="正文文本 字符"/>
    <w:basedOn w:val="47"/>
    <w:link w:val="17"/>
    <w:qFormat/>
    <w:uiPriority w:val="0"/>
    <w:rPr>
      <w:rFonts w:ascii="Times New Roman" w:hAnsi="Times New Roman" w:eastAsia="宋体" w:cs="Times New Roman"/>
      <w:kern w:val="0"/>
      <w:sz w:val="28"/>
      <w:szCs w:val="20"/>
    </w:rPr>
  </w:style>
  <w:style w:type="character" w:customStyle="1" w:styleId="79">
    <w:name w:val="正文文本缩进 字符"/>
    <w:basedOn w:val="47"/>
    <w:link w:val="18"/>
    <w:qFormat/>
    <w:uiPriority w:val="0"/>
    <w:rPr>
      <w:rFonts w:ascii="楷体_GB2312" w:hAnsi="Times New Roman" w:eastAsia="楷体_GB2312" w:cs="Times New Roman"/>
      <w:kern w:val="0"/>
      <w:sz w:val="28"/>
      <w:szCs w:val="20"/>
    </w:rPr>
  </w:style>
  <w:style w:type="character" w:customStyle="1" w:styleId="80">
    <w:name w:val="纯文本 字符"/>
    <w:basedOn w:val="47"/>
    <w:link w:val="22"/>
    <w:qFormat/>
    <w:uiPriority w:val="0"/>
    <w:rPr>
      <w:rFonts w:ascii="宋体" w:hAnsi="Courier New" w:eastAsia="宋体" w:cs="Times New Roman"/>
      <w:kern w:val="0"/>
      <w:szCs w:val="20"/>
    </w:rPr>
  </w:style>
  <w:style w:type="character" w:customStyle="1" w:styleId="81">
    <w:name w:val="日期 字符"/>
    <w:basedOn w:val="47"/>
    <w:link w:val="24"/>
    <w:qFormat/>
    <w:uiPriority w:val="0"/>
    <w:rPr>
      <w:rFonts w:ascii="Times New Roman" w:hAnsi="Times New Roman" w:eastAsia="宋体" w:cs="Times New Roman"/>
      <w:kern w:val="0"/>
      <w:szCs w:val="20"/>
    </w:rPr>
  </w:style>
  <w:style w:type="character" w:customStyle="1" w:styleId="82">
    <w:name w:val="正文文本缩进 2 字符"/>
    <w:basedOn w:val="47"/>
    <w:link w:val="25"/>
    <w:qFormat/>
    <w:uiPriority w:val="0"/>
    <w:rPr>
      <w:rFonts w:ascii="仿宋_GB2312" w:hAnsi="宋体" w:eastAsia="仿宋_GB2312" w:cs="Times New Roman"/>
      <w:kern w:val="0"/>
      <w:sz w:val="24"/>
      <w:szCs w:val="24"/>
    </w:rPr>
  </w:style>
  <w:style w:type="character" w:customStyle="1" w:styleId="83">
    <w:name w:val="尾注文本 字符"/>
    <w:basedOn w:val="47"/>
    <w:link w:val="26"/>
    <w:semiHidden/>
    <w:qFormat/>
    <w:uiPriority w:val="99"/>
    <w:rPr>
      <w:rFonts w:ascii="Times New Roman" w:hAnsi="Times New Roman" w:eastAsia="宋体" w:cs="Times New Roman"/>
      <w:kern w:val="0"/>
      <w:sz w:val="20"/>
      <w:szCs w:val="24"/>
    </w:rPr>
  </w:style>
  <w:style w:type="character" w:customStyle="1" w:styleId="84">
    <w:name w:val="批注框文本 字符"/>
    <w:basedOn w:val="47"/>
    <w:link w:val="27"/>
    <w:qFormat/>
    <w:uiPriority w:val="0"/>
    <w:rPr>
      <w:rFonts w:ascii="Times New Roman" w:hAnsi="Times New Roman" w:eastAsia="宋体" w:cs="Times New Roman"/>
      <w:kern w:val="0"/>
      <w:sz w:val="18"/>
      <w:szCs w:val="18"/>
    </w:rPr>
  </w:style>
  <w:style w:type="character" w:customStyle="1" w:styleId="85">
    <w:name w:val="脚注文本 字符"/>
    <w:basedOn w:val="47"/>
    <w:link w:val="34"/>
    <w:qFormat/>
    <w:uiPriority w:val="0"/>
    <w:rPr>
      <w:rFonts w:ascii="Times New Roman" w:hAnsi="Times New Roman" w:eastAsia="宋体" w:cs="Times New Roman"/>
      <w:kern w:val="0"/>
      <w:sz w:val="20"/>
      <w:szCs w:val="20"/>
    </w:rPr>
  </w:style>
  <w:style w:type="character" w:customStyle="1" w:styleId="86">
    <w:name w:val="正文文本缩进 3 字符"/>
    <w:basedOn w:val="47"/>
    <w:link w:val="36"/>
    <w:qFormat/>
    <w:uiPriority w:val="0"/>
    <w:rPr>
      <w:rFonts w:ascii="Times New Roman" w:hAnsi="Times New Roman" w:eastAsia="宋体" w:cs="Times New Roman"/>
      <w:kern w:val="0"/>
      <w:sz w:val="24"/>
      <w:szCs w:val="20"/>
    </w:rPr>
  </w:style>
  <w:style w:type="character" w:customStyle="1" w:styleId="87">
    <w:name w:val="正文文本 2 字符"/>
    <w:basedOn w:val="47"/>
    <w:link w:val="40"/>
    <w:qFormat/>
    <w:uiPriority w:val="99"/>
    <w:rPr>
      <w:rFonts w:ascii="仿宋_GB2312" w:hAnsi="宋体" w:eastAsia="仿宋_GB2312" w:cs="Times New Roman"/>
      <w:kern w:val="0"/>
      <w:szCs w:val="24"/>
    </w:rPr>
  </w:style>
  <w:style w:type="character" w:customStyle="1" w:styleId="88">
    <w:name w:val="批注主题 字符"/>
    <w:basedOn w:val="76"/>
    <w:link w:val="43"/>
    <w:semiHidden/>
    <w:qFormat/>
    <w:uiPriority w:val="0"/>
    <w:rPr>
      <w:rFonts w:ascii="Times New Roman" w:hAnsi="Times New Roman" w:eastAsia="宋体" w:cs="Times New Roman"/>
      <w:b/>
      <w:bCs/>
      <w:kern w:val="0"/>
      <w:szCs w:val="20"/>
    </w:rPr>
  </w:style>
  <w:style w:type="character" w:customStyle="1" w:styleId="89">
    <w:name w:val="正文文本首行缩进 2 字符"/>
    <w:basedOn w:val="79"/>
    <w:link w:val="44"/>
    <w:uiPriority w:val="0"/>
    <w:rPr>
      <w:rFonts w:ascii="楷体_GB2312" w:hAnsi="Times New Roman" w:eastAsia="楷体_GB2312" w:cs="Times New Roman"/>
      <w:kern w:val="0"/>
      <w:sz w:val="28"/>
      <w:szCs w:val="20"/>
    </w:rPr>
  </w:style>
  <w:style w:type="character" w:customStyle="1" w:styleId="90">
    <w:name w:val="Heading 1 Char"/>
    <w:basedOn w:val="47"/>
    <w:qFormat/>
    <w:uiPriority w:val="9"/>
    <w:rPr>
      <w:rFonts w:ascii="Arial" w:hAnsi="Arial" w:eastAsia="Arial" w:cs="Arial"/>
      <w:sz w:val="40"/>
      <w:szCs w:val="40"/>
    </w:rPr>
  </w:style>
  <w:style w:type="character" w:customStyle="1" w:styleId="91">
    <w:name w:val="Heading 2 Char"/>
    <w:basedOn w:val="47"/>
    <w:qFormat/>
    <w:uiPriority w:val="9"/>
    <w:rPr>
      <w:rFonts w:ascii="Arial" w:hAnsi="Arial" w:eastAsia="Arial" w:cs="Arial"/>
      <w:sz w:val="34"/>
    </w:rPr>
  </w:style>
  <w:style w:type="character" w:customStyle="1" w:styleId="92">
    <w:name w:val="Heading 3 Char"/>
    <w:basedOn w:val="47"/>
    <w:qFormat/>
    <w:uiPriority w:val="9"/>
    <w:rPr>
      <w:rFonts w:ascii="Arial" w:hAnsi="Arial" w:eastAsia="Arial" w:cs="Arial"/>
      <w:sz w:val="30"/>
      <w:szCs w:val="30"/>
    </w:rPr>
  </w:style>
  <w:style w:type="character" w:customStyle="1" w:styleId="93">
    <w:name w:val="Heading 4 Char"/>
    <w:basedOn w:val="47"/>
    <w:qFormat/>
    <w:uiPriority w:val="9"/>
    <w:rPr>
      <w:rFonts w:ascii="Arial" w:hAnsi="Arial" w:eastAsia="Arial" w:cs="Arial"/>
      <w:b/>
      <w:bCs/>
      <w:sz w:val="26"/>
      <w:szCs w:val="26"/>
    </w:rPr>
  </w:style>
  <w:style w:type="character" w:customStyle="1" w:styleId="94">
    <w:name w:val="Heading 5 Char"/>
    <w:basedOn w:val="47"/>
    <w:qFormat/>
    <w:uiPriority w:val="9"/>
    <w:rPr>
      <w:rFonts w:ascii="Arial" w:hAnsi="Arial" w:eastAsia="Arial" w:cs="Arial"/>
      <w:b/>
      <w:bCs/>
      <w:sz w:val="24"/>
      <w:szCs w:val="24"/>
    </w:rPr>
  </w:style>
  <w:style w:type="character" w:customStyle="1" w:styleId="95">
    <w:name w:val="Heading 6 Char"/>
    <w:basedOn w:val="47"/>
    <w:qFormat/>
    <w:uiPriority w:val="9"/>
    <w:rPr>
      <w:rFonts w:ascii="Arial" w:hAnsi="Arial" w:eastAsia="Arial" w:cs="Arial"/>
      <w:b/>
      <w:bCs/>
      <w:sz w:val="22"/>
      <w:szCs w:val="22"/>
    </w:rPr>
  </w:style>
  <w:style w:type="character" w:customStyle="1" w:styleId="96">
    <w:name w:val="Heading 7 Char"/>
    <w:basedOn w:val="47"/>
    <w:qFormat/>
    <w:uiPriority w:val="9"/>
    <w:rPr>
      <w:rFonts w:ascii="Arial" w:hAnsi="Arial" w:eastAsia="Arial" w:cs="Arial"/>
      <w:b/>
      <w:bCs/>
      <w:i/>
      <w:iCs/>
      <w:sz w:val="22"/>
      <w:szCs w:val="22"/>
    </w:rPr>
  </w:style>
  <w:style w:type="character" w:customStyle="1" w:styleId="97">
    <w:name w:val="Heading 8 Char"/>
    <w:basedOn w:val="47"/>
    <w:qFormat/>
    <w:uiPriority w:val="9"/>
    <w:rPr>
      <w:rFonts w:ascii="Arial" w:hAnsi="Arial" w:eastAsia="Arial" w:cs="Arial"/>
      <w:i/>
      <w:iCs/>
      <w:sz w:val="22"/>
      <w:szCs w:val="22"/>
    </w:rPr>
  </w:style>
  <w:style w:type="character" w:customStyle="1" w:styleId="98">
    <w:name w:val="Heading 9 Char"/>
    <w:basedOn w:val="47"/>
    <w:qFormat/>
    <w:uiPriority w:val="9"/>
    <w:rPr>
      <w:rFonts w:ascii="Arial" w:hAnsi="Arial" w:eastAsia="Arial" w:cs="Arial"/>
      <w:i/>
      <w:iCs/>
      <w:sz w:val="21"/>
      <w:szCs w:val="21"/>
    </w:rPr>
  </w:style>
  <w:style w:type="paragraph" w:styleId="99">
    <w:name w:val="No Spacing"/>
    <w:qFormat/>
    <w:uiPriority w:val="1"/>
    <w:rPr>
      <w:rFonts w:ascii="Times New Roman" w:hAnsi="Times New Roman" w:eastAsia="宋体" w:cs="Times New Roman"/>
      <w:kern w:val="0"/>
      <w:sz w:val="20"/>
      <w:szCs w:val="20"/>
      <w:lang w:val="en-US" w:eastAsia="zh-CN" w:bidi="ar-SA"/>
    </w:rPr>
  </w:style>
  <w:style w:type="character" w:customStyle="1" w:styleId="100">
    <w:name w:val="Title Char"/>
    <w:basedOn w:val="47"/>
    <w:qFormat/>
    <w:uiPriority w:val="10"/>
    <w:rPr>
      <w:sz w:val="48"/>
      <w:szCs w:val="48"/>
    </w:rPr>
  </w:style>
  <w:style w:type="character" w:customStyle="1" w:styleId="101">
    <w:name w:val="Subtitle Char"/>
    <w:basedOn w:val="47"/>
    <w:qFormat/>
    <w:uiPriority w:val="11"/>
    <w:rPr>
      <w:sz w:val="24"/>
      <w:szCs w:val="24"/>
    </w:rPr>
  </w:style>
  <w:style w:type="character" w:customStyle="1" w:styleId="102">
    <w:name w:val="Header Char"/>
    <w:basedOn w:val="47"/>
    <w:qFormat/>
    <w:uiPriority w:val="99"/>
  </w:style>
  <w:style w:type="character" w:customStyle="1" w:styleId="103">
    <w:name w:val="Footer Char"/>
    <w:basedOn w:val="47"/>
    <w:qFormat/>
    <w:uiPriority w:val="99"/>
  </w:style>
  <w:style w:type="character" w:customStyle="1" w:styleId="104">
    <w:name w:val="Caption Char"/>
    <w:qFormat/>
    <w:uiPriority w:val="99"/>
  </w:style>
  <w:style w:type="table" w:customStyle="1" w:styleId="105">
    <w:name w:val="Table Grid Light"/>
    <w:basedOn w:val="45"/>
    <w:qFormat/>
    <w:uiPriority w:val="59"/>
    <w:rPr>
      <w:rFonts w:ascii="Times New Roman" w:hAnsi="Times New Roman" w:eastAsia="宋体" w:cs="Times New Roman"/>
      <w:kern w:val="0"/>
      <w:sz w:val="20"/>
      <w:szCs w:val="20"/>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06">
    <w:name w:val="无格式表格 11"/>
    <w:basedOn w:val="45"/>
    <w:qFormat/>
    <w:uiPriority w:val="59"/>
    <w:rPr>
      <w:rFonts w:ascii="Times New Roman" w:hAnsi="Times New Roman" w:eastAsia="宋体" w:cs="Times New Roman"/>
      <w:kern w:val="0"/>
      <w:sz w:val="20"/>
      <w:szCs w:val="20"/>
    </w:r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7">
    <w:name w:val="无格式表格 21"/>
    <w:basedOn w:val="45"/>
    <w:qFormat/>
    <w:uiPriority w:val="59"/>
    <w:rPr>
      <w:rFonts w:ascii="Times New Roman" w:hAnsi="Times New Roman" w:eastAsia="宋体" w:cs="Times New Roman"/>
      <w:kern w:val="0"/>
      <w:sz w:val="20"/>
      <w:szCs w:val="20"/>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8">
    <w:name w:val="无格式表格 31"/>
    <w:basedOn w:val="45"/>
    <w:qFormat/>
    <w:uiPriority w:val="99"/>
    <w:rPr>
      <w:rFonts w:ascii="Times New Roman" w:hAnsi="Times New Roman" w:eastAsia="宋体" w:cs="Times New Roman"/>
      <w:kern w:val="0"/>
      <w:sz w:val="20"/>
      <w:szCs w:val="20"/>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9">
    <w:name w:val="无格式表格 41"/>
    <w:basedOn w:val="45"/>
    <w:qFormat/>
    <w:uiPriority w:val="99"/>
    <w:rPr>
      <w:rFonts w:ascii="Times New Roman" w:hAnsi="Times New Roman" w:eastAsia="宋体" w:cs="Times New Roman"/>
      <w:kern w:val="0"/>
      <w:sz w:val="20"/>
      <w:szCs w:val="20"/>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无格式表格 51"/>
    <w:basedOn w:val="45"/>
    <w:qFormat/>
    <w:uiPriority w:val="99"/>
    <w:rPr>
      <w:rFonts w:ascii="Times New Roman" w:hAnsi="Times New Roman" w:eastAsia="宋体" w:cs="Times New Roman"/>
      <w:kern w:val="0"/>
      <w:sz w:val="20"/>
      <w:szCs w:val="20"/>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1">
    <w:name w:val="网格表 1 浅色1"/>
    <w:basedOn w:val="45"/>
    <w:qFormat/>
    <w:uiPriority w:val="99"/>
    <w:rPr>
      <w:rFonts w:ascii="Times New Roman" w:hAnsi="Times New Roman" w:eastAsia="宋体" w:cs="Times New Roman"/>
      <w:kern w:val="0"/>
      <w:sz w:val="20"/>
      <w:szCs w:val="20"/>
    </w:r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2">
    <w:name w:val="Grid Table 1 Light - Accent 1"/>
    <w:basedOn w:val="45"/>
    <w:qFormat/>
    <w:uiPriority w:val="99"/>
    <w:rPr>
      <w:rFonts w:ascii="Times New Roman" w:hAnsi="Times New Roman" w:eastAsia="宋体" w:cs="Times New Roman"/>
      <w:kern w:val="0"/>
      <w:sz w:val="20"/>
      <w:szCs w:val="20"/>
    </w:r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13">
    <w:name w:val="Grid Table 1 Light - Accent 2"/>
    <w:basedOn w:val="45"/>
    <w:qFormat/>
    <w:uiPriority w:val="99"/>
    <w:rPr>
      <w:rFonts w:ascii="Times New Roman" w:hAnsi="Times New Roman" w:eastAsia="宋体" w:cs="Times New Roman"/>
      <w:kern w:val="0"/>
      <w:sz w:val="20"/>
      <w:szCs w:val="20"/>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4">
    <w:name w:val="Grid Table 1 Light - Accent 3"/>
    <w:basedOn w:val="45"/>
    <w:qFormat/>
    <w:uiPriority w:val="99"/>
    <w:rPr>
      <w:rFonts w:ascii="Times New Roman" w:hAnsi="Times New Roman" w:eastAsia="宋体" w:cs="Times New Roman"/>
      <w:kern w:val="0"/>
      <w:sz w:val="20"/>
      <w:szCs w:val="20"/>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15">
    <w:name w:val="Grid Table 1 Light - Accent 4"/>
    <w:basedOn w:val="45"/>
    <w:qFormat/>
    <w:uiPriority w:val="99"/>
    <w:rPr>
      <w:rFonts w:ascii="Times New Roman" w:hAnsi="Times New Roman" w:eastAsia="宋体" w:cs="Times New Roman"/>
      <w:kern w:val="0"/>
      <w:sz w:val="20"/>
      <w:szCs w:val="20"/>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6">
    <w:name w:val="Grid Table 1 Light - Accent 5"/>
    <w:basedOn w:val="45"/>
    <w:qFormat/>
    <w:uiPriority w:val="99"/>
    <w:rPr>
      <w:rFonts w:ascii="Times New Roman" w:hAnsi="Times New Roman" w:eastAsia="宋体" w:cs="Times New Roman"/>
      <w:kern w:val="0"/>
      <w:sz w:val="20"/>
      <w:szCs w:val="20"/>
    </w:r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17">
    <w:name w:val="Grid Table 1 Light - Accent 6"/>
    <w:basedOn w:val="45"/>
    <w:qFormat/>
    <w:uiPriority w:val="99"/>
    <w:rPr>
      <w:rFonts w:ascii="Times New Roman" w:hAnsi="Times New Roman" w:eastAsia="宋体" w:cs="Times New Roman"/>
      <w:kern w:val="0"/>
      <w:sz w:val="20"/>
      <w:szCs w:val="20"/>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8">
    <w:name w:val="网格表 21"/>
    <w:basedOn w:val="45"/>
    <w:qFormat/>
    <w:uiPriority w:val="99"/>
    <w:rPr>
      <w:rFonts w:ascii="Times New Roman" w:hAnsi="Times New Roman" w:eastAsia="宋体" w:cs="Times New Roman"/>
      <w:kern w:val="0"/>
      <w:sz w:val="20"/>
      <w:szCs w:val="20"/>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2 - Accent 1"/>
    <w:basedOn w:val="45"/>
    <w:qFormat/>
    <w:uiPriority w:val="99"/>
    <w:rPr>
      <w:rFonts w:ascii="Times New Roman" w:hAnsi="Times New Roman" w:eastAsia="宋体" w:cs="Times New Roman"/>
      <w:kern w:val="0"/>
      <w:sz w:val="20"/>
      <w:szCs w:val="20"/>
    </w:r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20">
    <w:name w:val="Grid Table 2 - Accent 2"/>
    <w:basedOn w:val="45"/>
    <w:qFormat/>
    <w:uiPriority w:val="99"/>
    <w:rPr>
      <w:rFonts w:ascii="Times New Roman" w:hAnsi="Times New Roman" w:eastAsia="宋体" w:cs="Times New Roman"/>
      <w:kern w:val="0"/>
      <w:sz w:val="20"/>
      <w:szCs w:val="20"/>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1">
    <w:name w:val="Grid Table 2 - Accent 3"/>
    <w:basedOn w:val="45"/>
    <w:qFormat/>
    <w:uiPriority w:val="99"/>
    <w:rPr>
      <w:rFonts w:ascii="Times New Roman" w:hAnsi="Times New Roman" w:eastAsia="宋体" w:cs="Times New Roman"/>
      <w:kern w:val="0"/>
      <w:sz w:val="20"/>
      <w:szCs w:val="20"/>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2">
    <w:name w:val="Grid Table 2 - Accent 4"/>
    <w:basedOn w:val="45"/>
    <w:qFormat/>
    <w:uiPriority w:val="99"/>
    <w:rPr>
      <w:rFonts w:ascii="Times New Roman" w:hAnsi="Times New Roman" w:eastAsia="宋体" w:cs="Times New Roman"/>
      <w:kern w:val="0"/>
      <w:sz w:val="20"/>
      <w:szCs w:val="20"/>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3">
    <w:name w:val="Grid Table 2 - Accent 5"/>
    <w:basedOn w:val="45"/>
    <w:qFormat/>
    <w:uiPriority w:val="99"/>
    <w:rPr>
      <w:rFonts w:ascii="Times New Roman" w:hAnsi="Times New Roman" w:eastAsia="宋体" w:cs="Times New Roman"/>
      <w:kern w:val="0"/>
      <w:sz w:val="20"/>
      <w:szCs w:val="20"/>
    </w:r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24">
    <w:name w:val="Grid Table 2 - Accent 6"/>
    <w:basedOn w:val="45"/>
    <w:qFormat/>
    <w:uiPriority w:val="99"/>
    <w:rPr>
      <w:rFonts w:ascii="Times New Roman" w:hAnsi="Times New Roman" w:eastAsia="宋体" w:cs="Times New Roman"/>
      <w:kern w:val="0"/>
      <w:sz w:val="20"/>
      <w:szCs w:val="20"/>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5">
    <w:name w:val="网格表 31"/>
    <w:basedOn w:val="45"/>
    <w:qFormat/>
    <w:uiPriority w:val="99"/>
    <w:rPr>
      <w:rFonts w:ascii="Times New Roman" w:hAnsi="Times New Roman" w:eastAsia="宋体" w:cs="Times New Roman"/>
      <w:kern w:val="0"/>
      <w:sz w:val="20"/>
      <w:szCs w:val="20"/>
    </w:r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6">
    <w:name w:val="Grid Table 3 - Accent 1"/>
    <w:basedOn w:val="45"/>
    <w:qFormat/>
    <w:uiPriority w:val="99"/>
    <w:rPr>
      <w:rFonts w:ascii="Times New Roman" w:hAnsi="Times New Roman" w:eastAsia="宋体" w:cs="Times New Roman"/>
      <w:kern w:val="0"/>
      <w:sz w:val="20"/>
      <w:szCs w:val="20"/>
    </w:r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127">
    <w:name w:val="Grid Table 3 - Accent 2"/>
    <w:basedOn w:val="45"/>
    <w:qFormat/>
    <w:uiPriority w:val="99"/>
    <w:rPr>
      <w:rFonts w:ascii="Times New Roman" w:hAnsi="Times New Roman" w:eastAsia="宋体" w:cs="Times New Roman"/>
      <w:kern w:val="0"/>
      <w:sz w:val="20"/>
      <w:szCs w:val="20"/>
    </w:r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8">
    <w:name w:val="Grid Table 3 - Accent 3"/>
    <w:basedOn w:val="45"/>
    <w:qFormat/>
    <w:uiPriority w:val="99"/>
    <w:rPr>
      <w:rFonts w:ascii="Times New Roman" w:hAnsi="Times New Roman" w:eastAsia="宋体" w:cs="Times New Roman"/>
      <w:kern w:val="0"/>
      <w:sz w:val="20"/>
      <w:szCs w:val="20"/>
    </w:r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9">
    <w:name w:val="Grid Table 3 - Accent 4"/>
    <w:basedOn w:val="45"/>
    <w:qFormat/>
    <w:uiPriority w:val="99"/>
    <w:rPr>
      <w:rFonts w:ascii="Times New Roman" w:hAnsi="Times New Roman" w:eastAsia="宋体" w:cs="Times New Roman"/>
      <w:kern w:val="0"/>
      <w:sz w:val="20"/>
      <w:szCs w:val="20"/>
    </w:r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0">
    <w:name w:val="Grid Table 3 - Accent 5"/>
    <w:basedOn w:val="45"/>
    <w:qFormat/>
    <w:uiPriority w:val="99"/>
    <w:rPr>
      <w:rFonts w:ascii="Times New Roman" w:hAnsi="Times New Roman" w:eastAsia="宋体" w:cs="Times New Roman"/>
      <w:kern w:val="0"/>
      <w:sz w:val="20"/>
      <w:szCs w:val="20"/>
    </w:r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31">
    <w:name w:val="Grid Table 3 - Accent 6"/>
    <w:basedOn w:val="45"/>
    <w:qFormat/>
    <w:uiPriority w:val="99"/>
    <w:rPr>
      <w:rFonts w:ascii="Times New Roman" w:hAnsi="Times New Roman" w:eastAsia="宋体" w:cs="Times New Roman"/>
      <w:kern w:val="0"/>
      <w:sz w:val="20"/>
      <w:szCs w:val="20"/>
    </w:r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2">
    <w:name w:val="网格表 41"/>
    <w:basedOn w:val="45"/>
    <w:qFormat/>
    <w:uiPriority w:val="59"/>
    <w:rPr>
      <w:rFonts w:ascii="Times New Roman" w:hAnsi="Times New Roman" w:eastAsia="宋体" w:cs="Times New Roman"/>
      <w:kern w:val="0"/>
      <w:sz w:val="20"/>
      <w:szCs w:val="20"/>
    </w:r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3">
    <w:name w:val="Grid Table 4 - Accent 1"/>
    <w:basedOn w:val="45"/>
    <w:qFormat/>
    <w:uiPriority w:val="59"/>
    <w:rPr>
      <w:rFonts w:ascii="Times New Roman" w:hAnsi="Times New Roman" w:eastAsia="宋体" w:cs="Times New Roman"/>
      <w:kern w:val="0"/>
      <w:sz w:val="20"/>
      <w:szCs w:val="20"/>
    </w:r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34">
    <w:name w:val="Grid Table 4 - Accent 2"/>
    <w:basedOn w:val="45"/>
    <w:qFormat/>
    <w:uiPriority w:val="59"/>
    <w:rPr>
      <w:rFonts w:ascii="Times New Roman" w:hAnsi="Times New Roman" w:eastAsia="宋体" w:cs="Times New Roman"/>
      <w:kern w:val="0"/>
      <w:sz w:val="20"/>
      <w:szCs w:val="20"/>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5">
    <w:name w:val="Grid Table 4 - Accent 3"/>
    <w:basedOn w:val="45"/>
    <w:qFormat/>
    <w:uiPriority w:val="59"/>
    <w:rPr>
      <w:rFonts w:ascii="Times New Roman" w:hAnsi="Times New Roman" w:eastAsia="宋体" w:cs="Times New Roman"/>
      <w:kern w:val="0"/>
      <w:sz w:val="20"/>
      <w:szCs w:val="20"/>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6">
    <w:name w:val="Grid Table 4 - Accent 4"/>
    <w:basedOn w:val="45"/>
    <w:qFormat/>
    <w:uiPriority w:val="59"/>
    <w:rPr>
      <w:rFonts w:ascii="Times New Roman" w:hAnsi="Times New Roman" w:eastAsia="宋体" w:cs="Times New Roman"/>
      <w:kern w:val="0"/>
      <w:sz w:val="20"/>
      <w:szCs w:val="20"/>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7">
    <w:name w:val="Grid Table 4 - Accent 5"/>
    <w:basedOn w:val="45"/>
    <w:qFormat/>
    <w:uiPriority w:val="59"/>
    <w:rPr>
      <w:rFonts w:ascii="Times New Roman" w:hAnsi="Times New Roman" w:eastAsia="宋体" w:cs="Times New Roman"/>
      <w:kern w:val="0"/>
      <w:sz w:val="20"/>
      <w:szCs w:val="20"/>
    </w:r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38">
    <w:name w:val="Grid Table 4 - Accent 6"/>
    <w:basedOn w:val="45"/>
    <w:qFormat/>
    <w:uiPriority w:val="59"/>
    <w:rPr>
      <w:rFonts w:ascii="Times New Roman" w:hAnsi="Times New Roman" w:eastAsia="宋体" w:cs="Times New Roman"/>
      <w:kern w:val="0"/>
      <w:sz w:val="20"/>
      <w:szCs w:val="20"/>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9">
    <w:name w:val="网格表 5 深色1"/>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0">
    <w:name w:val="Grid Table 5 Dark- Accent 1"/>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41">
    <w:name w:val="Grid Table 5 Dark - Accent 2"/>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42">
    <w:name w:val="Grid Table 5 Dark - Accent 3"/>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43">
    <w:name w:val="Grid Table 5 Dark- Accent 4"/>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44">
    <w:name w:val="Grid Table 5 Dark - Accent 5"/>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45">
    <w:name w:val="Grid Table 5 Dark - Accent 6"/>
    <w:basedOn w:val="45"/>
    <w:qFormat/>
    <w:uiPriority w:val="99"/>
    <w:rPr>
      <w:rFonts w:ascii="Times New Roman" w:hAnsi="Times New Roman" w:eastAsia="宋体" w:cs="Times New Roman"/>
      <w:kern w:val="0"/>
      <w:sz w:val="20"/>
      <w:szCs w:val="20"/>
    </w:r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6">
    <w:name w:val="网格表 6 彩色1"/>
    <w:basedOn w:val="45"/>
    <w:qFormat/>
    <w:uiPriority w:val="99"/>
    <w:rPr>
      <w:rFonts w:ascii="Times New Roman" w:hAnsi="Times New Roman" w:eastAsia="宋体" w:cs="Times New Roman"/>
      <w:kern w:val="0"/>
      <w:sz w:val="20"/>
      <w:szCs w:val="20"/>
    </w:r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7">
    <w:name w:val="Grid Table 6 Colorful - Accent 1"/>
    <w:basedOn w:val="45"/>
    <w:qFormat/>
    <w:uiPriority w:val="99"/>
    <w:rPr>
      <w:rFonts w:ascii="Times New Roman" w:hAnsi="Times New Roman" w:eastAsia="宋体" w:cs="Times New Roman"/>
      <w:kern w:val="0"/>
      <w:sz w:val="20"/>
      <w:szCs w:val="20"/>
    </w:r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48">
    <w:name w:val="Grid Table 6 Colorful - Accent 2"/>
    <w:basedOn w:val="45"/>
    <w:qFormat/>
    <w:uiPriority w:val="99"/>
    <w:rPr>
      <w:rFonts w:ascii="Times New Roman" w:hAnsi="Times New Roman" w:eastAsia="宋体" w:cs="Times New Roman"/>
      <w:kern w:val="0"/>
      <w:sz w:val="20"/>
      <w:szCs w:val="20"/>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Grid Table 6 Colorful - Accent 3"/>
    <w:basedOn w:val="45"/>
    <w:qFormat/>
    <w:uiPriority w:val="99"/>
    <w:rPr>
      <w:rFonts w:ascii="Times New Roman" w:hAnsi="Times New Roman" w:eastAsia="宋体" w:cs="Times New Roman"/>
      <w:kern w:val="0"/>
      <w:sz w:val="20"/>
      <w:szCs w:val="20"/>
    </w:r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0">
    <w:name w:val="Grid Table 6 Colorful - Accent 4"/>
    <w:basedOn w:val="45"/>
    <w:qFormat/>
    <w:uiPriority w:val="99"/>
    <w:rPr>
      <w:rFonts w:ascii="Times New Roman" w:hAnsi="Times New Roman" w:eastAsia="宋体" w:cs="Times New Roman"/>
      <w:kern w:val="0"/>
      <w:sz w:val="20"/>
      <w:szCs w:val="20"/>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Grid Table 6 Colorful - Accent 5"/>
    <w:basedOn w:val="45"/>
    <w:qFormat/>
    <w:uiPriority w:val="99"/>
    <w:rPr>
      <w:rFonts w:ascii="Times New Roman" w:hAnsi="Times New Roman" w:eastAsia="宋体" w:cs="Times New Roman"/>
      <w:kern w:val="0"/>
      <w:sz w:val="20"/>
      <w:szCs w:val="20"/>
    </w:r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52">
    <w:name w:val="Grid Table 6 Colorful - Accent 6"/>
    <w:basedOn w:val="45"/>
    <w:qFormat/>
    <w:uiPriority w:val="99"/>
    <w:rPr>
      <w:rFonts w:ascii="Times New Roman" w:hAnsi="Times New Roman" w:eastAsia="宋体" w:cs="Times New Roman"/>
      <w:kern w:val="0"/>
      <w:sz w:val="20"/>
      <w:szCs w:val="20"/>
    </w:r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53">
    <w:name w:val="网格表 7 彩色1"/>
    <w:basedOn w:val="45"/>
    <w:qFormat/>
    <w:uiPriority w:val="99"/>
    <w:rPr>
      <w:rFonts w:ascii="Times New Roman" w:hAnsi="Times New Roman" w:eastAsia="宋体" w:cs="Times New Roman"/>
      <w:kern w:val="0"/>
      <w:sz w:val="20"/>
      <w:szCs w:val="20"/>
    </w:r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Grid Table 7 Colorful - Accent 1"/>
    <w:basedOn w:val="45"/>
    <w:qFormat/>
    <w:uiPriority w:val="99"/>
    <w:rPr>
      <w:rFonts w:ascii="Times New Roman" w:hAnsi="Times New Roman" w:eastAsia="宋体" w:cs="Times New Roman"/>
      <w:kern w:val="0"/>
      <w:sz w:val="20"/>
      <w:szCs w:val="20"/>
    </w:r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55">
    <w:name w:val="Grid Table 7 Colorful - Accent 2"/>
    <w:basedOn w:val="45"/>
    <w:qFormat/>
    <w:uiPriority w:val="99"/>
    <w:rPr>
      <w:rFonts w:ascii="Times New Roman" w:hAnsi="Times New Roman" w:eastAsia="宋体" w:cs="Times New Roman"/>
      <w:kern w:val="0"/>
      <w:sz w:val="20"/>
      <w:szCs w:val="20"/>
    </w:r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Grid Table 7 Colorful - Accent 3"/>
    <w:basedOn w:val="45"/>
    <w:qFormat/>
    <w:uiPriority w:val="99"/>
    <w:rPr>
      <w:rFonts w:ascii="Times New Roman" w:hAnsi="Times New Roman" w:eastAsia="宋体" w:cs="Times New Roman"/>
      <w:kern w:val="0"/>
      <w:sz w:val="20"/>
      <w:szCs w:val="20"/>
    </w:r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57">
    <w:name w:val="Grid Table 7 Colorful - Accent 4"/>
    <w:basedOn w:val="45"/>
    <w:qFormat/>
    <w:uiPriority w:val="99"/>
    <w:rPr>
      <w:rFonts w:ascii="Times New Roman" w:hAnsi="Times New Roman" w:eastAsia="宋体" w:cs="Times New Roman"/>
      <w:kern w:val="0"/>
      <w:sz w:val="20"/>
      <w:szCs w:val="20"/>
    </w:r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Grid Table 7 Colorful - Accent 5"/>
    <w:basedOn w:val="45"/>
    <w:qFormat/>
    <w:uiPriority w:val="99"/>
    <w:rPr>
      <w:rFonts w:ascii="Times New Roman" w:hAnsi="Times New Roman" w:eastAsia="宋体" w:cs="Times New Roman"/>
      <w:kern w:val="0"/>
      <w:sz w:val="20"/>
      <w:szCs w:val="20"/>
    </w:r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59">
    <w:name w:val="Grid Table 7 Colorful - Accent 6"/>
    <w:basedOn w:val="45"/>
    <w:qFormat/>
    <w:uiPriority w:val="99"/>
    <w:rPr>
      <w:rFonts w:ascii="Times New Roman" w:hAnsi="Times New Roman" w:eastAsia="宋体" w:cs="Times New Roman"/>
      <w:kern w:val="0"/>
      <w:sz w:val="20"/>
      <w:szCs w:val="20"/>
    </w:r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60">
    <w:name w:val="清单表 1 浅色1"/>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1">
    <w:name w:val="List Table 1 Light - Accent 1"/>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62">
    <w:name w:val="List Table 1 Light - Accent 2"/>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63">
    <w:name w:val="List Table 1 Light - Accent 3"/>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64">
    <w:name w:val="List Table 1 Light - Accent 4"/>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65">
    <w:name w:val="List Table 1 Light - Accent 5"/>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66">
    <w:name w:val="List Table 1 Light - Accent 6"/>
    <w:basedOn w:val="45"/>
    <w:qFormat/>
    <w:uiPriority w:val="99"/>
    <w:rPr>
      <w:rFonts w:ascii="Times New Roman" w:hAnsi="Times New Roman" w:eastAsia="宋体" w:cs="Times New Roman"/>
      <w:kern w:val="0"/>
      <w:sz w:val="20"/>
      <w:szCs w:val="20"/>
    </w:r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67">
    <w:name w:val="清单表 21"/>
    <w:basedOn w:val="45"/>
    <w:qFormat/>
    <w:uiPriority w:val="99"/>
    <w:rPr>
      <w:rFonts w:ascii="Times New Roman" w:hAnsi="Times New Roman" w:eastAsia="宋体" w:cs="Times New Roman"/>
      <w:kern w:val="0"/>
      <w:sz w:val="20"/>
      <w:szCs w:val="20"/>
    </w:r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8">
    <w:name w:val="List Table 2 - Accent 1"/>
    <w:basedOn w:val="45"/>
    <w:qFormat/>
    <w:uiPriority w:val="99"/>
    <w:rPr>
      <w:rFonts w:ascii="Times New Roman" w:hAnsi="Times New Roman" w:eastAsia="宋体" w:cs="Times New Roman"/>
      <w:kern w:val="0"/>
      <w:sz w:val="20"/>
      <w:szCs w:val="20"/>
    </w:r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69">
    <w:name w:val="List Table 2 - Accent 2"/>
    <w:basedOn w:val="45"/>
    <w:qFormat/>
    <w:uiPriority w:val="99"/>
    <w:rPr>
      <w:rFonts w:ascii="Times New Roman" w:hAnsi="Times New Roman" w:eastAsia="宋体" w:cs="Times New Roman"/>
      <w:kern w:val="0"/>
      <w:sz w:val="20"/>
      <w:szCs w:val="20"/>
    </w:r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0">
    <w:name w:val="List Table 2 - Accent 3"/>
    <w:basedOn w:val="45"/>
    <w:qFormat/>
    <w:uiPriority w:val="99"/>
    <w:rPr>
      <w:rFonts w:ascii="Times New Roman" w:hAnsi="Times New Roman" w:eastAsia="宋体" w:cs="Times New Roman"/>
      <w:kern w:val="0"/>
      <w:sz w:val="20"/>
      <w:szCs w:val="20"/>
    </w:r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1">
    <w:name w:val="List Table 2 - Accent 4"/>
    <w:basedOn w:val="45"/>
    <w:qFormat/>
    <w:uiPriority w:val="99"/>
    <w:rPr>
      <w:rFonts w:ascii="Times New Roman" w:hAnsi="Times New Roman" w:eastAsia="宋体" w:cs="Times New Roman"/>
      <w:kern w:val="0"/>
      <w:sz w:val="20"/>
      <w:szCs w:val="20"/>
    </w:r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2">
    <w:name w:val="List Table 2 - Accent 5"/>
    <w:basedOn w:val="45"/>
    <w:qFormat/>
    <w:uiPriority w:val="99"/>
    <w:rPr>
      <w:rFonts w:ascii="Times New Roman" w:hAnsi="Times New Roman" w:eastAsia="宋体" w:cs="Times New Roman"/>
      <w:kern w:val="0"/>
      <w:sz w:val="20"/>
      <w:szCs w:val="20"/>
    </w:r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73">
    <w:name w:val="List Table 2 - Accent 6"/>
    <w:basedOn w:val="45"/>
    <w:qFormat/>
    <w:uiPriority w:val="99"/>
    <w:rPr>
      <w:rFonts w:ascii="Times New Roman" w:hAnsi="Times New Roman" w:eastAsia="宋体" w:cs="Times New Roman"/>
      <w:kern w:val="0"/>
      <w:sz w:val="20"/>
      <w:szCs w:val="20"/>
    </w:r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4">
    <w:name w:val="清单表 31"/>
    <w:basedOn w:val="45"/>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5">
    <w:name w:val="List Table 3 - Accent 1"/>
    <w:basedOn w:val="45"/>
    <w:qFormat/>
    <w:uiPriority w:val="99"/>
    <w:rPr>
      <w:rFonts w:ascii="Times New Roman" w:hAnsi="Times New Roman" w:eastAsia="宋体" w:cs="Times New Roman"/>
      <w:kern w:val="0"/>
      <w:sz w:val="20"/>
      <w:szCs w:val="20"/>
    </w:r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76">
    <w:name w:val="List Table 3 - Accent 2"/>
    <w:basedOn w:val="45"/>
    <w:qFormat/>
    <w:uiPriority w:val="99"/>
    <w:rPr>
      <w:rFonts w:ascii="Times New Roman" w:hAnsi="Times New Roman" w:eastAsia="宋体" w:cs="Times New Roman"/>
      <w:kern w:val="0"/>
      <w:sz w:val="20"/>
      <w:szCs w:val="20"/>
    </w:r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77">
    <w:name w:val="List Table 3 - Accent 3"/>
    <w:basedOn w:val="45"/>
    <w:qFormat/>
    <w:uiPriority w:val="99"/>
    <w:rPr>
      <w:rFonts w:ascii="Times New Roman" w:hAnsi="Times New Roman" w:eastAsia="宋体" w:cs="Times New Roman"/>
      <w:kern w:val="0"/>
      <w:sz w:val="20"/>
      <w:szCs w:val="20"/>
    </w:r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78">
    <w:name w:val="List Table 3 - Accent 4"/>
    <w:basedOn w:val="45"/>
    <w:qFormat/>
    <w:uiPriority w:val="99"/>
    <w:rPr>
      <w:rFonts w:ascii="Times New Roman" w:hAnsi="Times New Roman" w:eastAsia="宋体" w:cs="Times New Roman"/>
      <w:kern w:val="0"/>
      <w:sz w:val="20"/>
      <w:szCs w:val="20"/>
    </w:r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79">
    <w:name w:val="List Table 3 - Accent 5"/>
    <w:basedOn w:val="45"/>
    <w:qFormat/>
    <w:uiPriority w:val="99"/>
    <w:rPr>
      <w:rFonts w:ascii="Times New Roman" w:hAnsi="Times New Roman" w:eastAsia="宋体" w:cs="Times New Roman"/>
      <w:kern w:val="0"/>
      <w:sz w:val="20"/>
      <w:szCs w:val="20"/>
    </w:r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80">
    <w:name w:val="List Table 3 - Accent 6"/>
    <w:basedOn w:val="45"/>
    <w:qFormat/>
    <w:uiPriority w:val="99"/>
    <w:rPr>
      <w:rFonts w:ascii="Times New Roman" w:hAnsi="Times New Roman" w:eastAsia="宋体" w:cs="Times New Roman"/>
      <w:kern w:val="0"/>
      <w:sz w:val="20"/>
      <w:szCs w:val="20"/>
    </w:r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81">
    <w:name w:val="清单表 41"/>
    <w:basedOn w:val="45"/>
    <w:qFormat/>
    <w:uiPriority w:val="9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2">
    <w:name w:val="List Table 4 - Accent 1"/>
    <w:basedOn w:val="45"/>
    <w:qFormat/>
    <w:uiPriority w:val="99"/>
    <w:rPr>
      <w:rFonts w:ascii="Times New Roman" w:hAnsi="Times New Roman" w:eastAsia="宋体" w:cs="Times New Roman"/>
      <w:kern w:val="0"/>
      <w:sz w:val="20"/>
      <w:szCs w:val="20"/>
    </w:r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83">
    <w:name w:val="List Table 4 - Accent 2"/>
    <w:basedOn w:val="45"/>
    <w:qFormat/>
    <w:uiPriority w:val="99"/>
    <w:rPr>
      <w:rFonts w:ascii="Times New Roman" w:hAnsi="Times New Roman" w:eastAsia="宋体" w:cs="Times New Roman"/>
      <w:kern w:val="0"/>
      <w:sz w:val="20"/>
      <w:szCs w:val="20"/>
    </w:r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84">
    <w:name w:val="List Table 4 - Accent 3"/>
    <w:basedOn w:val="45"/>
    <w:qFormat/>
    <w:uiPriority w:val="99"/>
    <w:rPr>
      <w:rFonts w:ascii="Times New Roman" w:hAnsi="Times New Roman" w:eastAsia="宋体" w:cs="Times New Roman"/>
      <w:kern w:val="0"/>
      <w:sz w:val="20"/>
      <w:szCs w:val="20"/>
    </w:r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5">
    <w:name w:val="List Table 4 - Accent 4"/>
    <w:basedOn w:val="45"/>
    <w:qFormat/>
    <w:uiPriority w:val="99"/>
    <w:rPr>
      <w:rFonts w:ascii="Times New Roman" w:hAnsi="Times New Roman" w:eastAsia="宋体" w:cs="Times New Roman"/>
      <w:kern w:val="0"/>
      <w:sz w:val="20"/>
      <w:szCs w:val="20"/>
    </w:r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6">
    <w:name w:val="List Table 4 - Accent 5"/>
    <w:basedOn w:val="45"/>
    <w:qFormat/>
    <w:uiPriority w:val="99"/>
    <w:rPr>
      <w:rFonts w:ascii="Times New Roman" w:hAnsi="Times New Roman" w:eastAsia="宋体" w:cs="Times New Roman"/>
      <w:kern w:val="0"/>
      <w:sz w:val="20"/>
      <w:szCs w:val="20"/>
    </w:r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87">
    <w:name w:val="List Table 4 - Accent 6"/>
    <w:basedOn w:val="45"/>
    <w:qFormat/>
    <w:uiPriority w:val="99"/>
    <w:rPr>
      <w:rFonts w:ascii="Times New Roman" w:hAnsi="Times New Roman" w:eastAsia="宋体" w:cs="Times New Roman"/>
      <w:kern w:val="0"/>
      <w:sz w:val="20"/>
      <w:szCs w:val="20"/>
    </w:r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8">
    <w:name w:val="清单表 5 深色1"/>
    <w:basedOn w:val="45"/>
    <w:qFormat/>
    <w:uiPriority w:val="99"/>
    <w:rPr>
      <w:rFonts w:ascii="Times New Roman" w:hAnsi="Times New Roman" w:eastAsia="宋体" w:cs="Times New Roman"/>
      <w:kern w:val="0"/>
      <w:sz w:val="20"/>
      <w:szCs w:val="20"/>
    </w:r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9">
    <w:name w:val="List Table 5 Dark - Accent 1"/>
    <w:basedOn w:val="45"/>
    <w:qFormat/>
    <w:uiPriority w:val="99"/>
    <w:rPr>
      <w:rFonts w:ascii="Times New Roman" w:hAnsi="Times New Roman" w:eastAsia="宋体" w:cs="Times New Roman"/>
      <w:kern w:val="0"/>
      <w:sz w:val="20"/>
      <w:szCs w:val="20"/>
    </w:r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90">
    <w:name w:val="List Table 5 Dark - Accent 2"/>
    <w:basedOn w:val="45"/>
    <w:qFormat/>
    <w:uiPriority w:val="99"/>
    <w:rPr>
      <w:rFonts w:ascii="Times New Roman" w:hAnsi="Times New Roman" w:eastAsia="宋体" w:cs="Times New Roman"/>
      <w:kern w:val="0"/>
      <w:sz w:val="20"/>
      <w:szCs w:val="20"/>
    </w:r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91">
    <w:name w:val="List Table 5 Dark - Accent 3"/>
    <w:basedOn w:val="45"/>
    <w:qFormat/>
    <w:uiPriority w:val="99"/>
    <w:rPr>
      <w:rFonts w:ascii="Times New Roman" w:hAnsi="Times New Roman" w:eastAsia="宋体" w:cs="Times New Roman"/>
      <w:kern w:val="0"/>
      <w:sz w:val="20"/>
      <w:szCs w:val="20"/>
    </w:r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92">
    <w:name w:val="List Table 5 Dark - Accent 4"/>
    <w:basedOn w:val="45"/>
    <w:qFormat/>
    <w:uiPriority w:val="99"/>
    <w:rPr>
      <w:rFonts w:ascii="Times New Roman" w:hAnsi="Times New Roman" w:eastAsia="宋体" w:cs="Times New Roman"/>
      <w:kern w:val="0"/>
      <w:sz w:val="20"/>
      <w:szCs w:val="20"/>
    </w:r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93">
    <w:name w:val="List Table 5 Dark - Accent 5"/>
    <w:basedOn w:val="45"/>
    <w:qFormat/>
    <w:uiPriority w:val="99"/>
    <w:rPr>
      <w:rFonts w:ascii="Times New Roman" w:hAnsi="Times New Roman" w:eastAsia="宋体" w:cs="Times New Roman"/>
      <w:kern w:val="0"/>
      <w:sz w:val="20"/>
      <w:szCs w:val="20"/>
    </w:r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94">
    <w:name w:val="List Table 5 Dark - Accent 6"/>
    <w:basedOn w:val="45"/>
    <w:qFormat/>
    <w:uiPriority w:val="99"/>
    <w:rPr>
      <w:rFonts w:ascii="Times New Roman" w:hAnsi="Times New Roman" w:eastAsia="宋体" w:cs="Times New Roman"/>
      <w:kern w:val="0"/>
      <w:sz w:val="20"/>
      <w:szCs w:val="20"/>
    </w:r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95">
    <w:name w:val="清单表 6 彩色1"/>
    <w:basedOn w:val="45"/>
    <w:qFormat/>
    <w:uiPriority w:val="99"/>
    <w:rPr>
      <w:rFonts w:ascii="Times New Roman" w:hAnsi="Times New Roman" w:eastAsia="宋体" w:cs="Times New Roman"/>
      <w:kern w:val="0"/>
      <w:sz w:val="20"/>
      <w:szCs w:val="20"/>
    </w:r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6">
    <w:name w:val="List Table 6 Colorful - Accent 1"/>
    <w:basedOn w:val="45"/>
    <w:qFormat/>
    <w:uiPriority w:val="99"/>
    <w:rPr>
      <w:rFonts w:ascii="Times New Roman" w:hAnsi="Times New Roman" w:eastAsia="宋体" w:cs="Times New Roman"/>
      <w:kern w:val="0"/>
      <w:sz w:val="20"/>
      <w:szCs w:val="20"/>
    </w:r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97">
    <w:name w:val="List Table 6 Colorful - Accent 2"/>
    <w:basedOn w:val="45"/>
    <w:qFormat/>
    <w:uiPriority w:val="99"/>
    <w:rPr>
      <w:rFonts w:ascii="Times New Roman" w:hAnsi="Times New Roman" w:eastAsia="宋体" w:cs="Times New Roman"/>
      <w:kern w:val="0"/>
      <w:sz w:val="20"/>
      <w:szCs w:val="20"/>
    </w:r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8">
    <w:name w:val="List Table 6 Colorful - Accent 3"/>
    <w:basedOn w:val="45"/>
    <w:qFormat/>
    <w:uiPriority w:val="99"/>
    <w:rPr>
      <w:rFonts w:ascii="Times New Roman" w:hAnsi="Times New Roman" w:eastAsia="宋体" w:cs="Times New Roman"/>
      <w:kern w:val="0"/>
      <w:sz w:val="20"/>
      <w:szCs w:val="20"/>
    </w:r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99">
    <w:name w:val="List Table 6 Colorful - Accent 4"/>
    <w:basedOn w:val="45"/>
    <w:qFormat/>
    <w:uiPriority w:val="99"/>
    <w:rPr>
      <w:rFonts w:ascii="Times New Roman" w:hAnsi="Times New Roman" w:eastAsia="宋体" w:cs="Times New Roman"/>
      <w:kern w:val="0"/>
      <w:sz w:val="20"/>
      <w:szCs w:val="20"/>
    </w:r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0">
    <w:name w:val="List Table 6 Colorful - Accent 5"/>
    <w:basedOn w:val="45"/>
    <w:qFormat/>
    <w:uiPriority w:val="99"/>
    <w:rPr>
      <w:rFonts w:ascii="Times New Roman" w:hAnsi="Times New Roman" w:eastAsia="宋体" w:cs="Times New Roman"/>
      <w:kern w:val="0"/>
      <w:sz w:val="20"/>
      <w:szCs w:val="20"/>
    </w:r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01">
    <w:name w:val="List Table 6 Colorful - Accent 6"/>
    <w:basedOn w:val="45"/>
    <w:qFormat/>
    <w:uiPriority w:val="99"/>
    <w:rPr>
      <w:rFonts w:ascii="Times New Roman" w:hAnsi="Times New Roman" w:eastAsia="宋体" w:cs="Times New Roman"/>
      <w:kern w:val="0"/>
      <w:sz w:val="20"/>
      <w:szCs w:val="20"/>
    </w:r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2">
    <w:name w:val="清单表 7 彩色1"/>
    <w:basedOn w:val="45"/>
    <w:qFormat/>
    <w:uiPriority w:val="99"/>
    <w:rPr>
      <w:rFonts w:ascii="Times New Roman" w:hAnsi="Times New Roman" w:eastAsia="宋体" w:cs="Times New Roman"/>
      <w:kern w:val="0"/>
      <w:sz w:val="20"/>
      <w:szCs w:val="20"/>
    </w:r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3">
    <w:name w:val="List Table 7 Colorful - Accent 1"/>
    <w:basedOn w:val="45"/>
    <w:qFormat/>
    <w:uiPriority w:val="99"/>
    <w:rPr>
      <w:rFonts w:ascii="Times New Roman" w:hAnsi="Times New Roman" w:eastAsia="宋体" w:cs="Times New Roman"/>
      <w:kern w:val="0"/>
      <w:sz w:val="20"/>
      <w:szCs w:val="20"/>
    </w:r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204">
    <w:name w:val="List Table 7 Colorful - Accent 2"/>
    <w:basedOn w:val="45"/>
    <w:qFormat/>
    <w:uiPriority w:val="99"/>
    <w:rPr>
      <w:rFonts w:ascii="Times New Roman" w:hAnsi="Times New Roman" w:eastAsia="宋体" w:cs="Times New Roman"/>
      <w:kern w:val="0"/>
      <w:sz w:val="20"/>
      <w:szCs w:val="20"/>
    </w:r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5">
    <w:name w:val="List Table 7 Colorful - Accent 3"/>
    <w:basedOn w:val="45"/>
    <w:qFormat/>
    <w:uiPriority w:val="99"/>
    <w:rPr>
      <w:rFonts w:ascii="Times New Roman" w:hAnsi="Times New Roman" w:eastAsia="宋体" w:cs="Times New Roman"/>
      <w:kern w:val="0"/>
      <w:sz w:val="20"/>
      <w:szCs w:val="20"/>
    </w:r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6">
    <w:name w:val="List Table 7 Colorful - Accent 4"/>
    <w:basedOn w:val="45"/>
    <w:qFormat/>
    <w:uiPriority w:val="99"/>
    <w:rPr>
      <w:rFonts w:ascii="Times New Roman" w:hAnsi="Times New Roman" w:eastAsia="宋体" w:cs="Times New Roman"/>
      <w:kern w:val="0"/>
      <w:sz w:val="20"/>
      <w:szCs w:val="20"/>
    </w:r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7">
    <w:name w:val="List Table 7 Colorful - Accent 5"/>
    <w:basedOn w:val="45"/>
    <w:qFormat/>
    <w:uiPriority w:val="99"/>
    <w:rPr>
      <w:rFonts w:ascii="Times New Roman" w:hAnsi="Times New Roman" w:eastAsia="宋体" w:cs="Times New Roman"/>
      <w:kern w:val="0"/>
      <w:sz w:val="20"/>
      <w:szCs w:val="20"/>
    </w:r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208">
    <w:name w:val="List Table 7 Colorful - Accent 6"/>
    <w:basedOn w:val="45"/>
    <w:qFormat/>
    <w:uiPriority w:val="99"/>
    <w:rPr>
      <w:rFonts w:ascii="Times New Roman" w:hAnsi="Times New Roman" w:eastAsia="宋体" w:cs="Times New Roman"/>
      <w:kern w:val="0"/>
      <w:sz w:val="20"/>
      <w:szCs w:val="20"/>
    </w:r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9">
    <w:name w:val="Lined - Accent"/>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0">
    <w:name w:val="Lined - Accent 1"/>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11">
    <w:name w:val="Lined - Accent 2"/>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2">
    <w:name w:val="Lined - Accent 3"/>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3">
    <w:name w:val="Lined - Accent 4"/>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4">
    <w:name w:val="Lined - Accent 5"/>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15">
    <w:name w:val="Lined - Accent 6"/>
    <w:basedOn w:val="45"/>
    <w:qFormat/>
    <w:uiPriority w:val="99"/>
    <w:rPr>
      <w:rFonts w:ascii="Times New Roman" w:hAnsi="Times New Roman" w:eastAsia="宋体" w:cs="Times New Roman"/>
      <w:color w:val="404040"/>
      <w:kern w:val="0"/>
      <w:sz w:val="20"/>
      <w:szCs w:val="2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6">
    <w:name w:val="Bordered &amp; Lined - Accent"/>
    <w:basedOn w:val="45"/>
    <w:qFormat/>
    <w:uiPriority w:val="99"/>
    <w:rPr>
      <w:rFonts w:ascii="Times New Roman" w:hAnsi="Times New Roman" w:eastAsia="宋体" w:cs="Times New Roman"/>
      <w:color w:val="404040"/>
      <w:kern w:val="0"/>
      <w:sz w:val="20"/>
      <w:szCs w:val="2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7">
    <w:name w:val="Bordered &amp; Lined - Accent 1"/>
    <w:basedOn w:val="45"/>
    <w:qFormat/>
    <w:uiPriority w:val="99"/>
    <w:rPr>
      <w:rFonts w:ascii="Times New Roman" w:hAnsi="Times New Roman" w:eastAsia="宋体" w:cs="Times New Roman"/>
      <w:color w:val="404040"/>
      <w:kern w:val="0"/>
      <w:sz w:val="20"/>
      <w:szCs w:val="2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218">
    <w:name w:val="Bordered &amp; Lined - Accent 2"/>
    <w:basedOn w:val="45"/>
    <w:qFormat/>
    <w:uiPriority w:val="99"/>
    <w:rPr>
      <w:rFonts w:ascii="Times New Roman" w:hAnsi="Times New Roman" w:eastAsia="宋体" w:cs="Times New Roman"/>
      <w:color w:val="404040"/>
      <w:kern w:val="0"/>
      <w:sz w:val="20"/>
      <w:szCs w:val="2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9">
    <w:name w:val="Bordered &amp; Lined - Accent 3"/>
    <w:basedOn w:val="45"/>
    <w:qFormat/>
    <w:uiPriority w:val="99"/>
    <w:rPr>
      <w:rFonts w:ascii="Times New Roman" w:hAnsi="Times New Roman" w:eastAsia="宋体" w:cs="Times New Roman"/>
      <w:color w:val="404040"/>
      <w:kern w:val="0"/>
      <w:sz w:val="20"/>
      <w:szCs w:val="2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0">
    <w:name w:val="Bordered &amp; Lined - Accent 4"/>
    <w:basedOn w:val="45"/>
    <w:qFormat/>
    <w:uiPriority w:val="99"/>
    <w:rPr>
      <w:rFonts w:ascii="Times New Roman" w:hAnsi="Times New Roman" w:eastAsia="宋体" w:cs="Times New Roman"/>
      <w:color w:val="404040"/>
      <w:kern w:val="0"/>
      <w:sz w:val="20"/>
      <w:szCs w:val="2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21">
    <w:name w:val="Bordered &amp; Lined - Accent 5"/>
    <w:basedOn w:val="45"/>
    <w:qFormat/>
    <w:uiPriority w:val="99"/>
    <w:rPr>
      <w:rFonts w:ascii="Times New Roman" w:hAnsi="Times New Roman" w:eastAsia="宋体" w:cs="Times New Roman"/>
      <w:color w:val="404040"/>
      <w:kern w:val="0"/>
      <w:sz w:val="20"/>
      <w:szCs w:val="2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222">
    <w:name w:val="Bordered &amp; Lined - Accent 6"/>
    <w:basedOn w:val="45"/>
    <w:qFormat/>
    <w:uiPriority w:val="99"/>
    <w:rPr>
      <w:rFonts w:ascii="Times New Roman" w:hAnsi="Times New Roman" w:eastAsia="宋体" w:cs="Times New Roman"/>
      <w:color w:val="404040"/>
      <w:kern w:val="0"/>
      <w:sz w:val="20"/>
      <w:szCs w:val="2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23">
    <w:name w:val="Bordered"/>
    <w:basedOn w:val="45"/>
    <w:qFormat/>
    <w:uiPriority w:val="99"/>
    <w:rPr>
      <w:rFonts w:ascii="Times New Roman" w:hAnsi="Times New Roman" w:eastAsia="宋体" w:cs="Times New Roman"/>
      <w:kern w:val="0"/>
      <w:sz w:val="20"/>
      <w:szCs w:val="20"/>
    </w:r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4">
    <w:name w:val="Bordered - Accent 1"/>
    <w:basedOn w:val="45"/>
    <w:qFormat/>
    <w:uiPriority w:val="99"/>
    <w:rPr>
      <w:rFonts w:ascii="Times New Roman" w:hAnsi="Times New Roman" w:eastAsia="宋体" w:cs="Times New Roman"/>
      <w:kern w:val="0"/>
      <w:sz w:val="20"/>
      <w:szCs w:val="20"/>
    </w:r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225">
    <w:name w:val="Bordered - Accent 2"/>
    <w:basedOn w:val="45"/>
    <w:qFormat/>
    <w:uiPriority w:val="99"/>
    <w:rPr>
      <w:rFonts w:ascii="Times New Roman" w:hAnsi="Times New Roman" w:eastAsia="宋体" w:cs="Times New Roman"/>
      <w:kern w:val="0"/>
      <w:sz w:val="20"/>
      <w:szCs w:val="20"/>
    </w:r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26">
    <w:name w:val="Bordered - Accent 3"/>
    <w:basedOn w:val="45"/>
    <w:qFormat/>
    <w:uiPriority w:val="99"/>
    <w:rPr>
      <w:rFonts w:ascii="Times New Roman" w:hAnsi="Times New Roman" w:eastAsia="宋体" w:cs="Times New Roman"/>
      <w:kern w:val="0"/>
      <w:sz w:val="20"/>
      <w:szCs w:val="20"/>
    </w:r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27">
    <w:name w:val="Bordered - Accent 4"/>
    <w:basedOn w:val="45"/>
    <w:qFormat/>
    <w:uiPriority w:val="99"/>
    <w:rPr>
      <w:rFonts w:ascii="Times New Roman" w:hAnsi="Times New Roman" w:eastAsia="宋体" w:cs="Times New Roman"/>
      <w:kern w:val="0"/>
      <w:sz w:val="20"/>
      <w:szCs w:val="20"/>
    </w:r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28">
    <w:name w:val="Bordered - Accent 5"/>
    <w:basedOn w:val="45"/>
    <w:qFormat/>
    <w:uiPriority w:val="99"/>
    <w:rPr>
      <w:rFonts w:ascii="Times New Roman" w:hAnsi="Times New Roman" w:eastAsia="宋体" w:cs="Times New Roman"/>
      <w:kern w:val="0"/>
      <w:sz w:val="20"/>
      <w:szCs w:val="20"/>
    </w:r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29">
    <w:name w:val="Bordered - Accent 6"/>
    <w:basedOn w:val="45"/>
    <w:qFormat/>
    <w:uiPriority w:val="99"/>
    <w:rPr>
      <w:rFonts w:ascii="Times New Roman" w:hAnsi="Times New Roman" w:eastAsia="宋体" w:cs="Times New Roman"/>
      <w:kern w:val="0"/>
      <w:sz w:val="20"/>
      <w:szCs w:val="20"/>
    </w:r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30">
    <w:name w:val="Footnote Text Char"/>
    <w:qFormat/>
    <w:uiPriority w:val="99"/>
    <w:rPr>
      <w:sz w:val="18"/>
    </w:rPr>
  </w:style>
  <w:style w:type="paragraph" w:customStyle="1" w:styleId="231">
    <w:name w:val="TOC 标题1"/>
    <w:unhideWhenUsed/>
    <w:qFormat/>
    <w:uiPriority w:val="39"/>
    <w:rPr>
      <w:rFonts w:ascii="Times New Roman" w:hAnsi="Times New Roman" w:eastAsia="宋体" w:cs="Times New Roman"/>
      <w:kern w:val="0"/>
      <w:sz w:val="20"/>
      <w:szCs w:val="20"/>
      <w:lang w:val="en-US" w:eastAsia="zh-CN" w:bidi="ar-SA"/>
    </w:rPr>
  </w:style>
  <w:style w:type="paragraph" w:customStyle="1" w:styleId="232">
    <w:name w:val="正文1"/>
    <w:next w:val="1"/>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233">
    <w:name w:val="bt1bt1"/>
    <w:basedOn w:val="2"/>
    <w:qFormat/>
    <w:uiPriority w:val="0"/>
    <w:pPr>
      <w:spacing w:before="340" w:after="330"/>
      <w:jc w:val="center"/>
    </w:pPr>
    <w:rPr>
      <w:rFonts w:ascii="黑体" w:hAnsi="Times New Roman" w:eastAsia="黑体" w:cs="Times New Roman"/>
      <w:bCs/>
      <w:color w:val="auto"/>
      <w:sz w:val="36"/>
      <w:szCs w:val="36"/>
    </w:rPr>
  </w:style>
  <w:style w:type="paragraph" w:customStyle="1" w:styleId="234">
    <w:name w:val="列表段落1"/>
    <w:basedOn w:val="1"/>
    <w:unhideWhenUsed/>
    <w:qFormat/>
    <w:uiPriority w:val="34"/>
    <w:pPr>
      <w:ind w:firstLine="420"/>
    </w:pPr>
  </w:style>
  <w:style w:type="paragraph" w:customStyle="1" w:styleId="235">
    <w:name w:val="TOC 标题11"/>
    <w:basedOn w:val="2"/>
    <w:next w:val="1"/>
    <w:qFormat/>
    <w:uiPriority w:val="0"/>
    <w:pPr>
      <w:widowControl/>
      <w:spacing w:after="0" w:line="276" w:lineRule="auto"/>
      <w:jc w:val="left"/>
      <w:outlineLvl w:val="9"/>
    </w:pPr>
    <w:rPr>
      <w:rFonts w:ascii="Cambria" w:hAnsi="Cambria" w:eastAsia="宋体" w:cs="Times New Roman"/>
      <w:b/>
      <w:bCs/>
      <w:color w:val="365F91"/>
      <w:sz w:val="28"/>
      <w:szCs w:val="28"/>
    </w:rPr>
  </w:style>
  <w:style w:type="paragraph" w:customStyle="1" w:styleId="236">
    <w:name w:val="_Style 36"/>
    <w:basedOn w:val="1"/>
    <w:qFormat/>
    <w:uiPriority w:val="34"/>
    <w:pPr>
      <w:ind w:firstLine="420"/>
    </w:pPr>
    <w:rPr>
      <w:szCs w:val="20"/>
    </w:rPr>
  </w:style>
  <w:style w:type="paragraph" w:customStyle="1" w:styleId="237">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238">
    <w:name w:val="Default"/>
    <w:qFormat/>
    <w:uiPriority w:val="0"/>
    <w:pPr>
      <w:widowControl w:val="0"/>
    </w:pPr>
    <w:rPr>
      <w:rFonts w:ascii="Times New Roman" w:hAnsi="Times New Roman" w:eastAsia="宋体" w:cs="Times New Roman"/>
      <w:color w:val="000000"/>
      <w:kern w:val="0"/>
      <w:sz w:val="24"/>
      <w:szCs w:val="24"/>
      <w:lang w:val="en-US" w:eastAsia="zh-CN" w:bidi="ar-SA"/>
    </w:rPr>
  </w:style>
  <w:style w:type="paragraph" w:customStyle="1" w:styleId="239">
    <w:name w:val="Blockquote"/>
    <w:basedOn w:val="1"/>
    <w:qFormat/>
    <w:uiPriority w:val="0"/>
    <w:pPr>
      <w:spacing w:before="100" w:after="100"/>
      <w:ind w:left="360" w:right="360"/>
      <w:jc w:val="left"/>
    </w:pPr>
    <w:rPr>
      <w:sz w:val="24"/>
      <w:szCs w:val="20"/>
    </w:rPr>
  </w:style>
  <w:style w:type="paragraph" w:customStyle="1" w:styleId="240">
    <w:name w:val="新定义正文"/>
    <w:basedOn w:val="1"/>
    <w:qFormat/>
    <w:uiPriority w:val="0"/>
    <w:pPr>
      <w:widowControl/>
    </w:pPr>
    <w:rPr>
      <w:color w:val="000000"/>
      <w:szCs w:val="21"/>
    </w:rPr>
  </w:style>
  <w:style w:type="paragraph" w:customStyle="1" w:styleId="241">
    <w:name w:val="节"/>
    <w:basedOn w:val="3"/>
    <w:qFormat/>
    <w:uiPriority w:val="0"/>
    <w:pPr>
      <w:numPr>
        <w:ilvl w:val="1"/>
        <w:numId w:val="1"/>
      </w:numPr>
      <w:tabs>
        <w:tab w:val="left" w:pos="432"/>
      </w:tabs>
      <w:spacing w:before="260" w:after="260"/>
    </w:pPr>
    <w:rPr>
      <w:rFonts w:ascii="黑体" w:hAnsi="Arial" w:eastAsia="黑体" w:cs="Times New Roman"/>
      <w:bCs/>
      <w:color w:val="auto"/>
      <w:sz w:val="28"/>
      <w:szCs w:val="28"/>
    </w:rPr>
  </w:style>
  <w:style w:type="paragraph" w:customStyle="1" w:styleId="242">
    <w:name w:val="TOC 标题2"/>
    <w:basedOn w:val="2"/>
    <w:next w:val="1"/>
    <w:unhideWhenUsed/>
    <w:qFormat/>
    <w:uiPriority w:val="39"/>
    <w:pPr>
      <w:widowControl/>
      <w:spacing w:after="0" w:line="276" w:lineRule="auto"/>
      <w:jc w:val="left"/>
      <w:outlineLvl w:val="9"/>
    </w:pPr>
    <w:rPr>
      <w:rFonts w:ascii="Cambria" w:hAnsi="Cambria" w:eastAsia="宋体" w:cs="黑体"/>
      <w:b/>
      <w:bCs/>
      <w:color w:val="365F90"/>
      <w:sz w:val="28"/>
      <w:szCs w:val="28"/>
    </w:rPr>
  </w:style>
  <w:style w:type="paragraph" w:customStyle="1" w:styleId="243">
    <w:name w:val="列出段落1"/>
    <w:basedOn w:val="1"/>
    <w:qFormat/>
    <w:uiPriority w:val="0"/>
    <w:pPr>
      <w:ind w:firstLine="420"/>
    </w:pPr>
    <w:rPr>
      <w:szCs w:val="20"/>
    </w:rPr>
  </w:style>
  <w:style w:type="paragraph" w:customStyle="1" w:styleId="244">
    <w:name w:val="修订1"/>
    <w:hidden/>
    <w:unhideWhenUsed/>
    <w:qFormat/>
    <w:uiPriority w:val="99"/>
    <w:rPr>
      <w:rFonts w:ascii="Times New Roman" w:hAnsi="Times New Roman" w:eastAsia="宋体" w:cs="Times New Roman"/>
      <w:kern w:val="0"/>
      <w:sz w:val="21"/>
      <w:szCs w:val="24"/>
      <w:lang w:val="en-US" w:eastAsia="zh-CN" w:bidi="ar-SA"/>
    </w:rPr>
  </w:style>
  <w:style w:type="character" w:customStyle="1" w:styleId="245">
    <w:name w:val="Char Char1"/>
    <w:qFormat/>
    <w:uiPriority w:val="0"/>
    <w:rPr>
      <w:rFonts w:ascii="楷体_GB2312" w:eastAsia="楷体_GB2312"/>
      <w:sz w:val="28"/>
    </w:rPr>
  </w:style>
  <w:style w:type="character" w:customStyle="1" w:styleId="246">
    <w:name w:val="Char Char"/>
    <w:qFormat/>
    <w:uiPriority w:val="0"/>
    <w:rPr>
      <w:rFonts w:ascii="宋体"/>
      <w:sz w:val="18"/>
      <w:szCs w:val="18"/>
    </w:rPr>
  </w:style>
  <w:style w:type="paragraph" w:customStyle="1" w:styleId="247">
    <w:name w:val="修订2"/>
    <w:hidden/>
    <w:unhideWhenUsed/>
    <w:qFormat/>
    <w:uiPriority w:val="99"/>
    <w:rPr>
      <w:rFonts w:ascii="Times New Roman" w:hAnsi="Times New Roman" w:eastAsia="宋体" w:cs="Times New Roman"/>
      <w:kern w:val="0"/>
      <w:sz w:val="21"/>
      <w:szCs w:val="24"/>
      <w:lang w:val="en-US" w:eastAsia="zh-CN" w:bidi="ar-SA"/>
    </w:rPr>
  </w:style>
  <w:style w:type="paragraph" w:customStyle="1" w:styleId="248">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sz w:val="24"/>
      <w:szCs w:val="20"/>
    </w:rPr>
  </w:style>
  <w:style w:type="character" w:customStyle="1" w:styleId="249">
    <w:name w:val="批注文字 Char1"/>
    <w:qFormat/>
    <w:uiPriority w:val="99"/>
    <w:rPr>
      <w:sz w:val="21"/>
    </w:rPr>
  </w:style>
  <w:style w:type="paragraph" w:customStyle="1" w:styleId="25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sz w:val="28"/>
      <w:szCs w:val="20"/>
    </w:rPr>
  </w:style>
  <w:style w:type="paragraph" w:customStyle="1" w:styleId="251">
    <w:name w:val="正文_3"/>
    <w:qFormat/>
    <w:uiPriority w:val="0"/>
    <w:pPr>
      <w:widowControl w:val="0"/>
      <w:jc w:val="both"/>
    </w:pPr>
    <w:rPr>
      <w:rFonts w:ascii="Calibri" w:hAnsi="Calibri" w:eastAsia="宋体" w:cs="Times New Roman"/>
      <w:kern w:val="0"/>
      <w:sz w:val="21"/>
      <w:szCs w:val="22"/>
      <w:lang w:val="en-US" w:eastAsia="zh-CN" w:bidi="ar-SA"/>
    </w:rPr>
  </w:style>
  <w:style w:type="paragraph" w:customStyle="1" w:styleId="252">
    <w:name w:val="Table Paragraph"/>
    <w:basedOn w:val="1"/>
    <w:qFormat/>
    <w:uiPriority w:val="1"/>
    <w:pPr>
      <w:jc w:val="left"/>
    </w:pPr>
    <w:rPr>
      <w:rFonts w:ascii="宋体" w:hAnsi="宋体" w:cs="宋体"/>
      <w:sz w:val="22"/>
      <w:szCs w:val="22"/>
      <w:lang w:eastAsia="en-US"/>
    </w:rPr>
  </w:style>
  <w:style w:type="paragraph" w:customStyle="1" w:styleId="253">
    <w:name w:val="Normal_1_1"/>
    <w:qFormat/>
    <w:uiPriority w:val="0"/>
    <w:rPr>
      <w:rFonts w:ascii="黑体" w:hAnsi="黑体" w:eastAsia="黑体" w:cs="Times New Roman"/>
      <w:b/>
      <w:kern w:val="0"/>
      <w:sz w:val="32"/>
      <w:szCs w:val="24"/>
      <w:lang w:val="en-US" w:eastAsia="zh-CN" w:bidi="ar-SA"/>
    </w:rPr>
  </w:style>
  <w:style w:type="paragraph" w:customStyle="1" w:styleId="254">
    <w:name w:val="正文_0_3"/>
    <w:qFormat/>
    <w:uiPriority w:val="0"/>
    <w:pPr>
      <w:widowControl w:val="0"/>
      <w:jc w:val="both"/>
    </w:pPr>
    <w:rPr>
      <w:rFonts w:ascii="Calibri" w:hAnsi="Calibri" w:eastAsia="宋体" w:cs="Times New Roman"/>
      <w:kern w:val="0"/>
      <w:sz w:val="21"/>
      <w:szCs w:val="22"/>
      <w:lang w:val="en-US" w:eastAsia="zh-CN" w:bidi="ar-SA"/>
    </w:rPr>
  </w:style>
  <w:style w:type="paragraph" w:customStyle="1" w:styleId="255">
    <w:name w:val="Normal_2_0"/>
    <w:qFormat/>
    <w:uiPriority w:val="0"/>
    <w:rPr>
      <w:rFonts w:ascii="黑体" w:hAnsi="黑体" w:eastAsia="黑体" w:cs="Times New Roman"/>
      <w:b/>
      <w:kern w:val="0"/>
      <w:sz w:val="32"/>
      <w:szCs w:val="24"/>
      <w:lang w:val="en-US" w:eastAsia="zh-CN" w:bidi="ar-SA"/>
    </w:rPr>
  </w:style>
  <w:style w:type="paragraph" w:customStyle="1" w:styleId="256">
    <w:name w:val="Body Text First Indent 22"/>
    <w:basedOn w:val="257"/>
    <w:qFormat/>
    <w:uiPriority w:val="0"/>
    <w:pPr>
      <w:ind w:firstLine="420"/>
    </w:pPr>
  </w:style>
  <w:style w:type="paragraph" w:customStyle="1" w:styleId="257">
    <w:name w:val="Body Text Indent2"/>
    <w:basedOn w:val="1"/>
    <w:next w:val="258"/>
    <w:qFormat/>
    <w:uiPriority w:val="0"/>
    <w:pPr>
      <w:spacing w:line="500" w:lineRule="exact"/>
      <w:ind w:firstLine="880"/>
    </w:pPr>
  </w:style>
  <w:style w:type="paragraph" w:customStyle="1" w:styleId="258">
    <w:name w:val="Body Text First Indent 21"/>
    <w:basedOn w:val="259"/>
    <w:qFormat/>
    <w:uiPriority w:val="0"/>
    <w:pPr>
      <w:ind w:firstLine="420"/>
    </w:pPr>
  </w:style>
  <w:style w:type="paragraph" w:customStyle="1" w:styleId="259">
    <w:name w:val="Body Text Indent1"/>
    <w:basedOn w:val="1"/>
    <w:qFormat/>
    <w:uiPriority w:val="0"/>
    <w:pPr>
      <w:spacing w:line="500" w:lineRule="exact"/>
      <w:ind w:firstLine="880"/>
    </w:pPr>
    <w:rPr>
      <w:szCs w:val="20"/>
    </w:rPr>
  </w:style>
  <w:style w:type="paragraph" w:customStyle="1" w:styleId="260">
    <w:name w:val="Normal_4_0"/>
    <w:qFormat/>
    <w:uiPriority w:val="0"/>
    <w:rPr>
      <w:rFonts w:ascii="黑体" w:hAnsi="黑体" w:eastAsia="黑体" w:cs="Times New Roman"/>
      <w:b/>
      <w:kern w:val="0"/>
      <w:sz w:val="32"/>
      <w:szCs w:val="24"/>
      <w:lang w:val="en-US" w:eastAsia="zh-CN" w:bidi="ar-SA"/>
    </w:rPr>
  </w:style>
  <w:style w:type="paragraph" w:customStyle="1" w:styleId="261">
    <w:name w:val="正文_3_0_0"/>
    <w:qFormat/>
    <w:uiPriority w:val="0"/>
    <w:pPr>
      <w:widowControl w:val="0"/>
      <w:jc w:val="both"/>
    </w:pPr>
    <w:rPr>
      <w:rFonts w:ascii="Times New Roman" w:hAnsi="Times New Roman" w:eastAsia="宋体" w:cs="Times New Roman"/>
      <w:kern w:val="0"/>
      <w:sz w:val="21"/>
      <w:szCs w:val="20"/>
      <w:lang w:val="en-US" w:eastAsia="zh-CN" w:bidi="ar-SA"/>
    </w:rPr>
  </w:style>
  <w:style w:type="paragraph" w:customStyle="1" w:styleId="262">
    <w:name w:val="Normal_5_0"/>
    <w:qFormat/>
    <w:uiPriority w:val="0"/>
    <w:rPr>
      <w:rFonts w:ascii="黑体" w:hAnsi="黑体" w:eastAsia="黑体" w:cs="Times New Roman"/>
      <w:b/>
      <w:kern w:val="0"/>
      <w:sz w:val="32"/>
      <w:szCs w:val="24"/>
      <w:lang w:val="en-US" w:eastAsia="zh-CN" w:bidi="ar-SA"/>
    </w:rPr>
  </w:style>
  <w:style w:type="paragraph" w:customStyle="1" w:styleId="263">
    <w:name w:val="正文_4_1"/>
    <w:qFormat/>
    <w:uiPriority w:val="0"/>
    <w:pPr>
      <w:widowControl w:val="0"/>
      <w:jc w:val="both"/>
    </w:pPr>
    <w:rPr>
      <w:rFonts w:ascii="Calibri" w:hAnsi="Calibri" w:eastAsia="宋体" w:cs="Times New Roman"/>
      <w:kern w:val="0"/>
      <w:sz w:val="21"/>
      <w:szCs w:val="22"/>
      <w:lang w:val="en-US" w:eastAsia="zh-CN" w:bidi="ar-SA"/>
    </w:rPr>
  </w:style>
  <w:style w:type="paragraph" w:customStyle="1" w:styleId="264">
    <w:name w:val="正文_7_0"/>
    <w:qFormat/>
    <w:uiPriority w:val="0"/>
    <w:pPr>
      <w:widowControl w:val="0"/>
      <w:jc w:val="both"/>
    </w:pPr>
    <w:rPr>
      <w:rFonts w:ascii="Calibri" w:hAnsi="Calibri" w:eastAsia="宋体" w:cs="Times New Roman"/>
      <w:kern w:val="0"/>
      <w:sz w:val="21"/>
      <w:szCs w:val="22"/>
      <w:lang w:val="en-US" w:eastAsia="zh-CN" w:bidi="ar-SA"/>
    </w:rPr>
  </w:style>
  <w:style w:type="paragraph" w:customStyle="1" w:styleId="265">
    <w:name w:val="目录 1_0_0"/>
    <w:basedOn w:val="263"/>
    <w:next w:val="263"/>
    <w:qFormat/>
    <w:uiPriority w:val="39"/>
    <w:pPr>
      <w:spacing w:line="410" w:lineRule="atLeast"/>
      <w:jc w:val="left"/>
    </w:pPr>
    <w:rPr>
      <w:rFonts w:ascii="宋体" w:hAnsi="Times New Roman"/>
      <w:sz w:val="24"/>
      <w:szCs w:val="20"/>
    </w:rPr>
  </w:style>
  <w:style w:type="paragraph" w:customStyle="1" w:styleId="266">
    <w:name w:val="GW-正文_0"/>
    <w:basedOn w:val="267"/>
    <w:qFormat/>
    <w:uiPriority w:val="0"/>
    <w:pPr>
      <w:spacing w:line="360" w:lineRule="auto"/>
      <w:ind w:firstLine="200"/>
      <w:contextualSpacing/>
    </w:pPr>
    <w:rPr>
      <w:szCs w:val="24"/>
    </w:rPr>
  </w:style>
  <w:style w:type="paragraph" w:customStyle="1" w:styleId="267">
    <w:name w:val="正文_8_0"/>
    <w:qFormat/>
    <w:uiPriority w:val="0"/>
    <w:pPr>
      <w:widowControl w:val="0"/>
      <w:jc w:val="both"/>
    </w:pPr>
    <w:rPr>
      <w:rFonts w:ascii="Calibri" w:hAnsi="Calibri" w:eastAsia="宋体" w:cs="Times New Roman"/>
      <w:kern w:val="0"/>
      <w:sz w:val="21"/>
      <w:szCs w:val="22"/>
      <w:lang w:val="en-US" w:eastAsia="zh-CN" w:bidi="ar-SA"/>
    </w:rPr>
  </w:style>
  <w:style w:type="paragraph" w:customStyle="1" w:styleId="268">
    <w:name w:val="正文_8_0_0"/>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269">
    <w:name w:val="Normal_11_0"/>
    <w:qFormat/>
    <w:uiPriority w:val="0"/>
    <w:rPr>
      <w:rFonts w:ascii="黑体" w:hAnsi="黑体" w:eastAsia="黑体" w:cs="Times New Roman"/>
      <w:b/>
      <w:kern w:val="0"/>
      <w:sz w:val="32"/>
      <w:szCs w:val="24"/>
      <w:lang w:val="en-US" w:eastAsia="zh-CN" w:bidi="ar-SA"/>
    </w:rPr>
  </w:style>
  <w:style w:type="paragraph" w:customStyle="1" w:styleId="270">
    <w:name w:val="正文_15_0"/>
    <w:qFormat/>
    <w:uiPriority w:val="0"/>
    <w:pPr>
      <w:widowControl w:val="0"/>
      <w:jc w:val="both"/>
    </w:pPr>
    <w:rPr>
      <w:rFonts w:ascii="Calibri" w:hAnsi="Calibri" w:eastAsia="宋体" w:cs="Times New Roman"/>
      <w:kern w:val="0"/>
      <w:sz w:val="21"/>
      <w:szCs w:val="22"/>
      <w:lang w:val="en-US" w:eastAsia="zh-CN" w:bidi="ar-SA"/>
    </w:rPr>
  </w:style>
  <w:style w:type="paragraph" w:customStyle="1" w:styleId="271">
    <w:name w:val="列出段落11"/>
    <w:basedOn w:val="1"/>
    <w:qFormat/>
    <w:uiPriority w:val="34"/>
    <w:pPr>
      <w:ind w:firstLine="420"/>
    </w:pPr>
    <w:rPr>
      <w:szCs w:val="20"/>
    </w:rPr>
  </w:style>
  <w:style w:type="paragraph" w:customStyle="1" w:styleId="272">
    <w:name w:val="Normal_20"/>
    <w:qFormat/>
    <w:uiPriority w:val="0"/>
    <w:rPr>
      <w:rFonts w:ascii="黑体" w:hAnsi="黑体" w:eastAsia="黑体" w:cs="Times New Roman"/>
      <w:b/>
      <w:kern w:val="0"/>
      <w:sz w:val="32"/>
      <w:szCs w:val="24"/>
      <w:lang w:val="en-US" w:eastAsia="zh-CN" w:bidi="ar-SA"/>
    </w:rPr>
  </w:style>
  <w:style w:type="paragraph" w:customStyle="1" w:styleId="273">
    <w:name w:val="正文_24"/>
    <w:qFormat/>
    <w:uiPriority w:val="0"/>
    <w:pPr>
      <w:widowControl w:val="0"/>
      <w:jc w:val="both"/>
    </w:pPr>
    <w:rPr>
      <w:rFonts w:ascii="Calibri" w:hAnsi="Calibri" w:eastAsia="宋体" w:cs="Times New Roman"/>
      <w:kern w:val="0"/>
      <w:sz w:val="21"/>
      <w:szCs w:val="22"/>
      <w:lang w:val="en-US" w:eastAsia="zh-CN" w:bidi="ar-SA"/>
    </w:rPr>
  </w:style>
  <w:style w:type="paragraph" w:customStyle="1" w:styleId="274">
    <w:name w:val="样式 正文缩进正文（首行缩进两字） + 宋体 行距: 1.5 倍行距"/>
    <w:basedOn w:val="12"/>
    <w:qFormat/>
    <w:uiPriority w:val="0"/>
    <w:pPr>
      <w:spacing w:line="300" w:lineRule="auto"/>
      <w:ind w:firstLine="482"/>
    </w:pPr>
    <w:rPr>
      <w:rFonts w:ascii="宋体" w:hAnsi="宋体" w:eastAsia="宋体"/>
      <w:szCs w:val="28"/>
    </w:rPr>
  </w:style>
  <w:style w:type="character" w:customStyle="1" w:styleId="275">
    <w:name w:val="正文缩进 字符"/>
    <w:basedOn w:val="47"/>
    <w:link w:val="12"/>
    <w:qFormat/>
    <w:uiPriority w:val="0"/>
    <w:rPr>
      <w:rFonts w:ascii="楷体_GB2312" w:hAnsi="Times New Roman" w:eastAsia="楷体_GB2312" w:cs="Times New Roman"/>
      <w:kern w:val="0"/>
      <w:sz w:val="28"/>
      <w:szCs w:val="20"/>
    </w:rPr>
  </w:style>
  <w:style w:type="paragraph" w:customStyle="1" w:styleId="276">
    <w:name w:val="*正文"/>
    <w:basedOn w:val="1"/>
    <w:qFormat/>
    <w:uiPriority w:val="0"/>
    <w:pPr>
      <w:spacing w:line="360" w:lineRule="auto"/>
      <w:ind w:firstLine="200"/>
    </w:pPr>
    <w:rPr>
      <w:rFonts w:ascii="宋体" w:hAnsi="宋体"/>
      <w:sz w:val="24"/>
    </w:rPr>
  </w:style>
  <w:style w:type="paragraph" w:customStyle="1" w:styleId="277">
    <w:name w:val="00-合正"/>
    <w:basedOn w:val="1"/>
    <w:qFormat/>
    <w:uiPriority w:val="0"/>
    <w:pPr>
      <w:spacing w:line="560" w:lineRule="exact"/>
      <w:ind w:firstLine="200"/>
      <w:jc w:val="left"/>
    </w:pPr>
    <w:rPr>
      <w:rFonts w:ascii="楷体" w:hAnsi="楷体" w:eastAsia="楷体"/>
      <w:color w:val="000000"/>
      <w:sz w:val="28"/>
    </w:rPr>
  </w:style>
  <w:style w:type="paragraph" w:customStyle="1" w:styleId="278">
    <w:name w:val="标题 41"/>
    <w:basedOn w:val="1"/>
    <w:qFormat/>
    <w:uiPriority w:val="99"/>
    <w:pPr>
      <w:ind w:left="618"/>
      <w:jc w:val="left"/>
      <w:outlineLvl w:val="4"/>
    </w:pPr>
    <w:rPr>
      <w:rFonts w:ascii="宋体" w:hAnsi="宋体" w:cs="宋体"/>
      <w:b/>
      <w:bCs/>
      <w:sz w:val="24"/>
      <w:lang w:val="zh-CN"/>
    </w:rPr>
  </w:style>
  <w:style w:type="paragraph" w:customStyle="1" w:styleId="279">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280">
    <w:name w:val="WPSOffice手动目录 2"/>
    <w:qFormat/>
    <w:uiPriority w:val="0"/>
    <w:pPr>
      <w:ind w:left="200"/>
    </w:pPr>
    <w:rPr>
      <w:rFonts w:ascii="Times New Roman" w:hAnsi="Times New Roman" w:eastAsia="宋体" w:cs="Times New Roman"/>
      <w:kern w:val="0"/>
      <w:sz w:val="20"/>
      <w:szCs w:val="20"/>
      <w:lang w:val="en-US" w:eastAsia="zh-CN" w:bidi="ar-SA"/>
    </w:rPr>
  </w:style>
  <w:style w:type="character" w:customStyle="1" w:styleId="281">
    <w:name w:val="未处理的提及1"/>
    <w:basedOn w:val="47"/>
    <w:semiHidden/>
    <w:unhideWhenUsed/>
    <w:qFormat/>
    <w:uiPriority w:val="99"/>
    <w:rPr>
      <w:color w:val="605E5C"/>
      <w:shd w:val="clear" w:color="auto" w:fill="E1DFDD"/>
    </w:rPr>
  </w:style>
  <w:style w:type="character" w:customStyle="1" w:styleId="282">
    <w:name w:val="15"/>
    <w:qFormat/>
    <w:uiPriority w:val="0"/>
    <w:rPr>
      <w:rFonts w:hint="default" w:ascii="Times New Roman" w:hAnsi="Times New Roman" w:eastAsia="宋体" w:cs="Times New Roman"/>
      <w:b/>
      <w:bCs/>
      <w:kern w:val="44"/>
      <w:sz w:val="44"/>
      <w:szCs w:val="44"/>
    </w:rPr>
  </w:style>
  <w:style w:type="paragraph" w:customStyle="1" w:styleId="28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sz w:val="16"/>
      <w:szCs w:val="16"/>
      <w:lang w:eastAsia="zh-TW"/>
    </w:rPr>
  </w:style>
  <w:style w:type="paragraph" w:customStyle="1" w:styleId="284">
    <w:name w:val="_Style 21"/>
    <w:basedOn w:val="1"/>
    <w:next w:val="68"/>
    <w:qFormat/>
    <w:uiPriority w:val="1"/>
    <w:pPr>
      <w:autoSpaceDE w:val="0"/>
      <w:autoSpaceDN w:val="0"/>
      <w:ind w:left="323" w:firstLine="420"/>
      <w:jc w:val="left"/>
    </w:pPr>
    <w:rPr>
      <w:rFonts w:ascii="宋体" w:hAnsi="宋体" w:cs="宋体"/>
      <w:sz w:val="22"/>
      <w:szCs w:val="22"/>
      <w:lang w:val="zh-CN" w:bidi="zh-CN"/>
    </w:rPr>
  </w:style>
  <w:style w:type="character" w:customStyle="1" w:styleId="285">
    <w:name w:val="rvts9"/>
    <w:qFormat/>
    <w:uiPriority w:val="0"/>
    <w:rPr>
      <w:rFonts w:hint="default" w:ascii="KNLe" w:hAnsi="KNLe"/>
    </w:rPr>
  </w:style>
  <w:style w:type="character" w:customStyle="1" w:styleId="286">
    <w:name w:val="rvts13"/>
    <w:qFormat/>
    <w:uiPriority w:val="0"/>
    <w:rPr>
      <w:rFonts w:hint="default" w:ascii="KNLe" w:hAnsi="KNLe"/>
      <w:color w:val="000000"/>
    </w:rPr>
  </w:style>
  <w:style w:type="character" w:customStyle="1" w:styleId="287">
    <w:name w:val="rvts11"/>
    <w:qFormat/>
    <w:uiPriority w:val="0"/>
    <w:rPr>
      <w:rFonts w:hint="default" w:ascii="KNLe" w:hAnsi="KNLe"/>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81</Pages>
  <Words>47343</Words>
  <Characters>49408</Characters>
  <Lines>409</Lines>
  <Paragraphs>115</Paragraphs>
  <TotalTime>59</TotalTime>
  <ScaleCrop>false</ScaleCrop>
  <LinksUpToDate>false</LinksUpToDate>
  <CharactersWithSpaces>52517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2025-09-19T02:31:00Z</dcterms:created>
  <dc:creator>Admin</dc:creator>
  <cp:lastModifiedBy>努力努力再努力的吴小宝</cp:lastModifiedBy>
  <cp:lastPrinted>2025-09-19T05:29:00Z</cp:lastPrinted>
  <dcterms:modified xsi:type="dcterms:W3CDTF">2025-09-19T07:18:55Z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DD0EAF2084DA4F1A9DFF67CCE7AB1943_13</vt:lpwstr>
  </property>
</Properties>
</file>