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475C">
      <w:pPr>
        <w:keepNext/>
        <w:keepLines/>
        <w:spacing w:before="312" w:beforeLines="100" w:after="312" w:afterLines="100"/>
        <w:jc w:val="center"/>
        <w:outlineLvl w:val="0"/>
        <w:rPr>
          <w:rFonts w:eastAsia="黑体"/>
          <w:b/>
          <w:kern w:val="44"/>
          <w:sz w:val="32"/>
        </w:rPr>
      </w:pPr>
      <w:bookmarkStart w:id="0" w:name="_Toc105667383"/>
      <w:r>
        <w:rPr>
          <w:rFonts w:hint="eastAsia" w:eastAsia="黑体"/>
          <w:b/>
          <w:kern w:val="44"/>
          <w:sz w:val="32"/>
        </w:rPr>
        <w:t>矿业工程（硕士起点）学术学位博士研究生培养方案</w:t>
      </w:r>
      <w:bookmarkEnd w:id="0"/>
    </w:p>
    <w:p w14:paraId="0C6942D3">
      <w:pPr>
        <w:spacing w:after="312" w:afterLines="100" w:line="360" w:lineRule="auto"/>
        <w:jc w:val="center"/>
        <w:outlineLvl w:val="1"/>
        <w:rPr>
          <w:sz w:val="24"/>
        </w:rPr>
      </w:pPr>
      <w:r>
        <w:rPr>
          <w:sz w:val="24"/>
        </w:rPr>
        <w:t>（学科代码：0819</w:t>
      </w:r>
      <w:r>
        <w:rPr>
          <w:rFonts w:hint="eastAsia"/>
          <w:sz w:val="24"/>
          <w:lang w:val="en-US" w:eastAsia="zh-CN"/>
        </w:rPr>
        <w:t>00</w:t>
      </w:r>
      <w:r>
        <w:rPr>
          <w:sz w:val="24"/>
        </w:rPr>
        <w:t>，申请工学博士学位适用）</w:t>
      </w:r>
    </w:p>
    <w:p w14:paraId="7F56205B">
      <w:pPr>
        <w:keepNext/>
        <w:spacing w:before="156" w:beforeLines="50" w:after="156" w:afterLines="50"/>
        <w:outlineLvl w:val="2"/>
        <w:rPr>
          <w:b/>
          <w:sz w:val="24"/>
        </w:rPr>
      </w:pPr>
      <w:bookmarkStart w:id="1" w:name="_Toc23427"/>
      <w:r>
        <w:rPr>
          <w:b/>
          <w:sz w:val="24"/>
        </w:rPr>
        <w:t>一、培养目标</w:t>
      </w:r>
      <w:bookmarkEnd w:id="1"/>
    </w:p>
    <w:p w14:paraId="0C23EDB6">
      <w:pPr>
        <w:autoSpaceDE w:val="0"/>
        <w:autoSpaceDN w:val="0"/>
        <w:adjustRightInd w:val="0"/>
        <w:spacing w:line="400" w:lineRule="exact"/>
        <w:ind w:firstLine="480" w:firstLineChars="200"/>
        <w:rPr>
          <w:bCs/>
          <w:sz w:val="24"/>
        </w:rPr>
      </w:pPr>
      <w:r>
        <w:rPr>
          <w:rFonts w:hint="eastAsia"/>
          <w:bCs/>
          <w:sz w:val="24"/>
        </w:rPr>
        <w:t>以习近平新时代中国特色社会主义思想为指导，落实立德树人根本任务，面向矿物开采和资源高效开发利用的重大需求，瞄准矿业工程领域学术前沿，培养德智体美劳五育并举，具有坚定的理想信念，掌握坚实宽广的理论基础、系统深入的专门知识，了解学科前沿动态，适应国家和区域经济社会发展，具有高度的社会责任感，具有独立从事科学研究或专门技术和管理工作能力的突出能力，具有国际竞争力的高层次、创新性学术领军后备人才，具体要求为：</w:t>
      </w:r>
    </w:p>
    <w:p w14:paraId="36F86ACB">
      <w:pPr>
        <w:autoSpaceDE w:val="0"/>
        <w:autoSpaceDN w:val="0"/>
        <w:adjustRightInd w:val="0"/>
        <w:spacing w:line="400" w:lineRule="exact"/>
        <w:ind w:firstLine="480" w:firstLineChars="20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7137B220">
      <w:pPr>
        <w:autoSpaceDE w:val="0"/>
        <w:autoSpaceDN w:val="0"/>
        <w:adjustRightInd w:val="0"/>
        <w:spacing w:line="400" w:lineRule="exact"/>
        <w:ind w:firstLine="480" w:firstLineChars="200"/>
        <w:rPr>
          <w:bCs/>
          <w:sz w:val="24"/>
        </w:rPr>
      </w:pPr>
      <w:r>
        <w:rPr>
          <w:rFonts w:hint="eastAsia"/>
          <w:bCs/>
          <w:sz w:val="24"/>
        </w:rPr>
        <w:t>（二）具有本学科坚实、宽广的基础理论和系统深入的专门知识；全面深入了解本学科有关研究领域现状、发展方向及国际学术前沿；具有独立从事科学研究工作的能力，具有创造性和批判性思维，具有在本学科领域取得创造性学术成果的能力；可胜任本学科领域高层次的教学、科研、工程技术工作与科技管理工作；熟悉学科国际发展前沿，掌握两门外国语，能熟练阅读本专业外文文献，能熟练使用一种外语撰写学术论文，并具有良好外语听说能力以及国际学术交流能力；</w:t>
      </w:r>
    </w:p>
    <w:p w14:paraId="54A3260A">
      <w:pPr>
        <w:autoSpaceDE w:val="0"/>
        <w:autoSpaceDN w:val="0"/>
        <w:adjustRightInd w:val="0"/>
        <w:spacing w:line="400" w:lineRule="exact"/>
        <w:ind w:firstLine="480" w:firstLineChars="20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73BEDE33">
      <w:pPr>
        <w:autoSpaceDE w:val="0"/>
        <w:autoSpaceDN w:val="0"/>
        <w:adjustRightInd w:val="0"/>
        <w:spacing w:line="400" w:lineRule="exact"/>
        <w:ind w:firstLine="480" w:firstLineChars="200"/>
        <w:rPr>
          <w:bCs/>
          <w:sz w:val="24"/>
        </w:rPr>
      </w:pPr>
      <w:r>
        <w:rPr>
          <w:rFonts w:hint="eastAsia"/>
          <w:bCs/>
          <w:sz w:val="24"/>
        </w:rPr>
        <w:t>（四）积极参加社会实践、社会志愿服务、创新创业等活动，形成良好劳动习惯。</w:t>
      </w:r>
    </w:p>
    <w:p w14:paraId="19BB8F64">
      <w:pPr>
        <w:keepNext/>
        <w:spacing w:before="156" w:beforeLines="50" w:after="156" w:afterLines="50"/>
        <w:outlineLvl w:val="2"/>
        <w:rPr>
          <w:b/>
          <w:sz w:val="24"/>
        </w:rPr>
      </w:pPr>
      <w:bookmarkStart w:id="2" w:name="_Toc3800"/>
      <w:r>
        <w:rPr>
          <w:b/>
          <w:sz w:val="24"/>
        </w:rPr>
        <w:t>二、研究方向</w:t>
      </w:r>
      <w:bookmarkEnd w:id="2"/>
    </w:p>
    <w:p w14:paraId="2B44BB7A">
      <w:pPr>
        <w:spacing w:line="400" w:lineRule="exact"/>
        <w:ind w:firstLine="480"/>
        <w:rPr>
          <w:bCs/>
          <w:sz w:val="24"/>
        </w:rPr>
      </w:pPr>
      <w:r>
        <w:rPr>
          <w:rFonts w:hint="eastAsia"/>
          <w:bCs/>
          <w:sz w:val="24"/>
        </w:rPr>
        <w:t>（一）非金属矿采矿方法与理论</w:t>
      </w:r>
    </w:p>
    <w:p w14:paraId="55BD8216">
      <w:pPr>
        <w:spacing w:line="400" w:lineRule="exact"/>
        <w:ind w:firstLine="480"/>
        <w:rPr>
          <w:bCs/>
          <w:sz w:val="24"/>
        </w:rPr>
      </w:pPr>
      <w:r>
        <w:rPr>
          <w:rFonts w:hint="eastAsia"/>
          <w:bCs/>
          <w:sz w:val="24"/>
        </w:rPr>
        <w:t>（二）矿山爆破及矿山岩体力学</w:t>
      </w:r>
    </w:p>
    <w:p w14:paraId="6D6C32FB">
      <w:pPr>
        <w:spacing w:line="400" w:lineRule="exact"/>
        <w:ind w:firstLine="480"/>
        <w:rPr>
          <w:bCs/>
          <w:sz w:val="24"/>
        </w:rPr>
      </w:pPr>
      <w:r>
        <w:rPr>
          <w:rFonts w:hint="eastAsia"/>
          <w:bCs/>
          <w:sz w:val="24"/>
        </w:rPr>
        <w:t>（三）非金属提纯与深加工</w:t>
      </w:r>
    </w:p>
    <w:p w14:paraId="5D516D41">
      <w:pPr>
        <w:spacing w:line="400" w:lineRule="exact"/>
        <w:ind w:firstLine="480"/>
        <w:rPr>
          <w:bCs/>
          <w:sz w:val="24"/>
        </w:rPr>
      </w:pPr>
      <w:r>
        <w:rPr>
          <w:rFonts w:hint="eastAsia"/>
          <w:bCs/>
          <w:sz w:val="24"/>
        </w:rPr>
        <w:t>（四）非金属矿材料设计与应用</w:t>
      </w:r>
    </w:p>
    <w:p w14:paraId="7F71D73E">
      <w:pPr>
        <w:spacing w:line="400" w:lineRule="exact"/>
        <w:ind w:firstLine="480"/>
        <w:rPr>
          <w:bCs/>
          <w:sz w:val="24"/>
        </w:rPr>
      </w:pPr>
      <w:r>
        <w:rPr>
          <w:rFonts w:hint="eastAsia"/>
          <w:bCs/>
          <w:sz w:val="24"/>
        </w:rPr>
        <w:t>（五）复杂难选资源及城市矿产开发利用</w:t>
      </w:r>
    </w:p>
    <w:p w14:paraId="7C021FD3">
      <w:pPr>
        <w:keepNext/>
        <w:spacing w:before="156" w:beforeLines="50" w:after="156" w:afterLines="50"/>
        <w:outlineLvl w:val="2"/>
        <w:rPr>
          <w:b/>
          <w:sz w:val="24"/>
        </w:rPr>
      </w:pPr>
      <w:bookmarkStart w:id="3" w:name="_Toc14985"/>
      <w:r>
        <w:rPr>
          <w:b/>
          <w:sz w:val="24"/>
        </w:rPr>
        <w:t>三、学制及学习年限</w:t>
      </w:r>
      <w:bookmarkEnd w:id="3"/>
    </w:p>
    <w:p w14:paraId="1FA938BB">
      <w:pPr>
        <w:autoSpaceDE w:val="0"/>
        <w:autoSpaceDN w:val="0"/>
        <w:adjustRightInd w:val="0"/>
        <w:spacing w:line="400" w:lineRule="exact"/>
        <w:ind w:firstLine="480" w:firstLineChars="200"/>
        <w:rPr>
          <w:kern w:val="0"/>
          <w:sz w:val="24"/>
        </w:rPr>
      </w:pPr>
      <w:r>
        <w:rPr>
          <w:rFonts w:hint="eastAsia"/>
          <w:kern w:val="0"/>
          <w:sz w:val="24"/>
        </w:rPr>
        <w:t>矿业工程学术学位博士研究生学制为4年，学习年限一般为4-5年，全日制最长不超过7年，非全日制最长不超过9年。</w:t>
      </w:r>
    </w:p>
    <w:p w14:paraId="3B9761CE">
      <w:pPr>
        <w:autoSpaceDE w:val="0"/>
        <w:autoSpaceDN w:val="0"/>
        <w:adjustRightInd w:val="0"/>
        <w:spacing w:line="400" w:lineRule="exact"/>
        <w:ind w:firstLine="480" w:firstLineChars="200"/>
        <w:rPr>
          <w:kern w:val="0"/>
          <w:sz w:val="24"/>
        </w:rPr>
      </w:pPr>
      <w:r>
        <w:rPr>
          <w:rFonts w:hint="eastAsia"/>
          <w:kern w:val="0"/>
          <w:sz w:val="24"/>
        </w:rPr>
        <w:t>休学创业的研究生，最长学习年限为10年。</w:t>
      </w:r>
    </w:p>
    <w:p w14:paraId="5504F6DB">
      <w:pPr>
        <w:keepNext/>
        <w:spacing w:before="156" w:beforeLines="50" w:after="156" w:afterLines="50"/>
        <w:outlineLvl w:val="2"/>
        <w:rPr>
          <w:b/>
          <w:sz w:val="24"/>
        </w:rPr>
      </w:pPr>
      <w:bookmarkStart w:id="4" w:name="_Toc24537"/>
      <w:r>
        <w:rPr>
          <w:b/>
          <w:sz w:val="24"/>
        </w:rPr>
        <w:t>四、课程设置及学分要求</w:t>
      </w:r>
      <w:bookmarkEnd w:id="4"/>
    </w:p>
    <w:p w14:paraId="608291B3">
      <w:pPr>
        <w:autoSpaceDE w:val="0"/>
        <w:autoSpaceDN w:val="0"/>
        <w:adjustRightInd w:val="0"/>
        <w:spacing w:line="400" w:lineRule="exact"/>
        <w:ind w:firstLine="480" w:firstLineChars="200"/>
        <w:rPr>
          <w:kern w:val="0"/>
          <w:sz w:val="24"/>
        </w:rPr>
      </w:pPr>
      <w:r>
        <w:rPr>
          <w:kern w:val="0"/>
          <w:sz w:val="24"/>
        </w:rPr>
        <w:t>（一）学分要求</w:t>
      </w:r>
    </w:p>
    <w:p w14:paraId="4039D222">
      <w:pPr>
        <w:autoSpaceDE w:val="0"/>
        <w:autoSpaceDN w:val="0"/>
        <w:adjustRightInd w:val="0"/>
        <w:spacing w:line="400" w:lineRule="exact"/>
        <w:ind w:firstLine="480" w:firstLineChars="200"/>
        <w:rPr>
          <w:kern w:val="0"/>
          <w:sz w:val="24"/>
        </w:rPr>
      </w:pPr>
      <w:r>
        <w:rPr>
          <w:rFonts w:hint="eastAsia"/>
          <w:kern w:val="0"/>
          <w:sz w:val="24"/>
        </w:rPr>
        <w:t>总学分≥17学分，其中课程学习学分≥12学分，必修环节学分为5学分。所修课程由公共学位课、专业学位课和选修课三部分组成，其中公共学位课≥4学分，专业学位课≥4学分，选修课≥4学分。必修环节包括：实践环节3学分、学术活动1学分、选题报告1学分。</w:t>
      </w:r>
    </w:p>
    <w:p w14:paraId="08A1B9D1">
      <w:pPr>
        <w:adjustRightInd w:val="0"/>
        <w:snapToGrid w:val="0"/>
        <w:spacing w:line="400" w:lineRule="exact"/>
        <w:ind w:firstLine="480" w:firstLineChars="200"/>
        <w:rPr>
          <w:sz w:val="24"/>
        </w:rPr>
      </w:pPr>
      <w:r>
        <w:rPr>
          <w:sz w:val="24"/>
        </w:rPr>
        <w:t>（二）课程设置</w:t>
      </w:r>
    </w:p>
    <w:tbl>
      <w:tblPr>
        <w:tblStyle w:val="34"/>
        <w:tblW w:w="6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30"/>
        <w:gridCol w:w="1753"/>
        <w:gridCol w:w="2287"/>
        <w:gridCol w:w="807"/>
        <w:gridCol w:w="701"/>
        <w:gridCol w:w="443"/>
        <w:gridCol w:w="730"/>
        <w:gridCol w:w="1405"/>
        <w:gridCol w:w="823"/>
      </w:tblGrid>
      <w:tr w14:paraId="5B45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44" w:type="pct"/>
            <w:shd w:val="clear" w:color="auto" w:fill="auto"/>
            <w:vAlign w:val="center"/>
          </w:tcPr>
          <w:p w14:paraId="7DCD222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w:t>
            </w:r>
          </w:p>
          <w:p w14:paraId="15C5AB8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类别</w:t>
            </w:r>
          </w:p>
        </w:tc>
        <w:tc>
          <w:tcPr>
            <w:tcW w:w="350" w:type="pct"/>
            <w:shd w:val="clear" w:color="auto" w:fill="auto"/>
            <w:vAlign w:val="center"/>
          </w:tcPr>
          <w:p w14:paraId="2597C1C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w:t>
            </w:r>
          </w:p>
          <w:p w14:paraId="5815D34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类型</w:t>
            </w:r>
          </w:p>
        </w:tc>
        <w:tc>
          <w:tcPr>
            <w:tcW w:w="843" w:type="pct"/>
            <w:shd w:val="clear" w:color="auto" w:fill="auto"/>
            <w:vAlign w:val="center"/>
          </w:tcPr>
          <w:p w14:paraId="746198F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课程编号</w:t>
            </w:r>
          </w:p>
        </w:tc>
        <w:tc>
          <w:tcPr>
            <w:tcW w:w="1100" w:type="pct"/>
            <w:shd w:val="clear" w:color="auto" w:fill="auto"/>
            <w:vAlign w:val="center"/>
          </w:tcPr>
          <w:p w14:paraId="5A30A72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课程名称</w:t>
            </w:r>
          </w:p>
        </w:tc>
        <w:tc>
          <w:tcPr>
            <w:tcW w:w="388" w:type="pct"/>
            <w:shd w:val="clear" w:color="auto" w:fill="auto"/>
            <w:vAlign w:val="center"/>
          </w:tcPr>
          <w:p w14:paraId="23F9E85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理论</w:t>
            </w:r>
          </w:p>
          <w:p w14:paraId="1A5D504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学时</w:t>
            </w:r>
          </w:p>
        </w:tc>
        <w:tc>
          <w:tcPr>
            <w:tcW w:w="337" w:type="pct"/>
            <w:shd w:val="clear" w:color="auto" w:fill="auto"/>
            <w:vAlign w:val="center"/>
          </w:tcPr>
          <w:p w14:paraId="4A0F798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实验</w:t>
            </w:r>
          </w:p>
          <w:p w14:paraId="1E91A80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学时</w:t>
            </w:r>
          </w:p>
        </w:tc>
        <w:tc>
          <w:tcPr>
            <w:tcW w:w="213" w:type="pct"/>
            <w:shd w:val="clear" w:color="auto" w:fill="auto"/>
            <w:vAlign w:val="center"/>
          </w:tcPr>
          <w:p w14:paraId="4530A7E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学分</w:t>
            </w:r>
          </w:p>
        </w:tc>
        <w:tc>
          <w:tcPr>
            <w:tcW w:w="351" w:type="pct"/>
            <w:shd w:val="clear" w:color="auto" w:fill="auto"/>
            <w:vAlign w:val="center"/>
          </w:tcPr>
          <w:p w14:paraId="68B6D0B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开课</w:t>
            </w:r>
          </w:p>
          <w:p w14:paraId="106568A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学期</w:t>
            </w:r>
          </w:p>
        </w:tc>
        <w:tc>
          <w:tcPr>
            <w:tcW w:w="676" w:type="pct"/>
            <w:shd w:val="clear" w:color="auto" w:fill="auto"/>
            <w:vAlign w:val="center"/>
          </w:tcPr>
          <w:p w14:paraId="421165E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开课单位</w:t>
            </w:r>
          </w:p>
        </w:tc>
        <w:tc>
          <w:tcPr>
            <w:tcW w:w="394" w:type="pct"/>
            <w:shd w:val="clear" w:color="auto" w:fill="auto"/>
            <w:vAlign w:val="center"/>
          </w:tcPr>
          <w:p w14:paraId="14EC400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175E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44" w:type="pct"/>
            <w:vMerge w:val="restart"/>
            <w:shd w:val="clear" w:color="auto" w:fill="auto"/>
            <w:vAlign w:val="center"/>
          </w:tcPr>
          <w:p w14:paraId="753E2645">
            <w:pPr>
              <w:widowControl/>
              <w:jc w:val="center"/>
              <w:rPr>
                <w:rFonts w:ascii="宋体" w:hAnsi="宋体" w:cs="宋体"/>
                <w:color w:val="000000"/>
                <w:kern w:val="0"/>
                <w:sz w:val="22"/>
                <w:szCs w:val="22"/>
              </w:rPr>
            </w:pPr>
            <w:r>
              <w:rPr>
                <w:rFonts w:hint="eastAsia" w:ascii="宋体" w:hAnsi="宋体" w:cs="宋体"/>
                <w:color w:val="000000"/>
                <w:kern w:val="0"/>
                <w:sz w:val="22"/>
                <w:szCs w:val="22"/>
              </w:rPr>
              <w:t>公共学位课（</w:t>
            </w:r>
            <w:r>
              <w:rPr>
                <w:color w:val="000000"/>
                <w:kern w:val="0"/>
                <w:sz w:val="22"/>
                <w:szCs w:val="22"/>
              </w:rPr>
              <w:t>4</w:t>
            </w:r>
            <w:r>
              <w:rPr>
                <w:rFonts w:hint="eastAsia" w:ascii="宋体" w:hAnsi="宋体" w:cs="宋体"/>
                <w:color w:val="000000"/>
                <w:kern w:val="0"/>
                <w:sz w:val="22"/>
                <w:szCs w:val="22"/>
              </w:rPr>
              <w:t>学分）</w:t>
            </w:r>
          </w:p>
        </w:tc>
        <w:tc>
          <w:tcPr>
            <w:tcW w:w="350" w:type="pct"/>
            <w:vMerge w:val="restart"/>
            <w:shd w:val="clear" w:color="auto" w:fill="auto"/>
            <w:vAlign w:val="center"/>
          </w:tcPr>
          <w:p w14:paraId="69AFF795">
            <w:pPr>
              <w:widowControl/>
              <w:jc w:val="center"/>
              <w:rPr>
                <w:rFonts w:ascii="宋体" w:hAnsi="宋体" w:cs="宋体"/>
                <w:color w:val="000000"/>
                <w:kern w:val="0"/>
                <w:sz w:val="22"/>
                <w:szCs w:val="22"/>
              </w:rPr>
            </w:pPr>
            <w:r>
              <w:rPr>
                <w:rFonts w:hint="eastAsia" w:ascii="宋体" w:hAnsi="宋体" w:cs="宋体"/>
                <w:color w:val="000000"/>
                <w:kern w:val="0"/>
                <w:sz w:val="22"/>
                <w:szCs w:val="22"/>
              </w:rPr>
              <w:t>外语（</w:t>
            </w:r>
            <w:r>
              <w:rPr>
                <w:color w:val="000000"/>
                <w:kern w:val="0"/>
                <w:sz w:val="22"/>
                <w:szCs w:val="22"/>
              </w:rPr>
              <w:t>2</w:t>
            </w:r>
            <w:r>
              <w:rPr>
                <w:rFonts w:hint="eastAsia" w:ascii="宋体" w:hAnsi="宋体" w:cs="宋体"/>
                <w:color w:val="000000"/>
                <w:kern w:val="0"/>
                <w:sz w:val="22"/>
                <w:szCs w:val="22"/>
              </w:rPr>
              <w:t>学分）</w:t>
            </w:r>
          </w:p>
        </w:tc>
        <w:tc>
          <w:tcPr>
            <w:tcW w:w="843" w:type="pct"/>
            <w:shd w:val="clear" w:color="auto" w:fill="auto"/>
            <w:vAlign w:val="center"/>
          </w:tcPr>
          <w:p w14:paraId="414EAB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r>
              <w:rPr>
                <w:rFonts w:hint="eastAsia" w:eastAsia="等线"/>
                <w:color w:val="000000"/>
                <w:kern w:val="0"/>
                <w:sz w:val="22"/>
                <w:szCs w:val="22"/>
                <w:lang w:val="en-US" w:eastAsia="zh-CN"/>
              </w:rPr>
              <w:t>60200123001</w:t>
            </w:r>
          </w:p>
        </w:tc>
        <w:tc>
          <w:tcPr>
            <w:tcW w:w="1100" w:type="pct"/>
            <w:shd w:val="clear" w:color="auto" w:fill="auto"/>
            <w:vAlign w:val="center"/>
          </w:tcPr>
          <w:p w14:paraId="60FC6B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科技英语阅读与写作（高阶）</w:t>
            </w:r>
          </w:p>
        </w:tc>
        <w:tc>
          <w:tcPr>
            <w:tcW w:w="388" w:type="pct"/>
            <w:shd w:val="clear" w:color="auto" w:fill="auto"/>
            <w:vAlign w:val="center"/>
          </w:tcPr>
          <w:p w14:paraId="6ED3D7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5B2802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63BE5A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4B591E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5810EA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restart"/>
            <w:shd w:val="clear" w:color="auto" w:fill="auto"/>
            <w:vAlign w:val="center"/>
          </w:tcPr>
          <w:p w14:paraId="244BD174">
            <w:pPr>
              <w:widowControl/>
              <w:jc w:val="center"/>
              <w:rPr>
                <w:rFonts w:ascii="宋体" w:hAnsi="宋体" w:cs="宋体"/>
                <w:color w:val="000000"/>
                <w:kern w:val="0"/>
                <w:sz w:val="22"/>
                <w:szCs w:val="22"/>
              </w:rPr>
            </w:pPr>
            <w:r>
              <w:rPr>
                <w:rFonts w:hint="eastAsia" w:ascii="宋体" w:hAnsi="宋体" w:cs="宋体"/>
                <w:color w:val="000000"/>
                <w:kern w:val="0"/>
                <w:sz w:val="22"/>
                <w:szCs w:val="22"/>
              </w:rPr>
              <w:t>任选1门</w:t>
            </w:r>
          </w:p>
        </w:tc>
      </w:tr>
      <w:tr w14:paraId="7F3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6C3EE5B3">
            <w:pPr>
              <w:widowControl/>
              <w:jc w:val="center"/>
              <w:rPr>
                <w:rFonts w:ascii="宋体" w:hAnsi="宋体" w:cs="宋体"/>
                <w:color w:val="000000"/>
                <w:kern w:val="0"/>
                <w:sz w:val="22"/>
                <w:szCs w:val="22"/>
              </w:rPr>
            </w:pPr>
          </w:p>
        </w:tc>
        <w:tc>
          <w:tcPr>
            <w:tcW w:w="350" w:type="pct"/>
            <w:vMerge w:val="continue"/>
            <w:vAlign w:val="center"/>
          </w:tcPr>
          <w:p w14:paraId="3EC89BDF">
            <w:pPr>
              <w:widowControl/>
              <w:jc w:val="center"/>
              <w:rPr>
                <w:rFonts w:ascii="宋体" w:hAnsi="宋体" w:cs="宋体"/>
                <w:color w:val="000000"/>
                <w:kern w:val="0"/>
                <w:sz w:val="22"/>
                <w:szCs w:val="22"/>
              </w:rPr>
            </w:pPr>
          </w:p>
        </w:tc>
        <w:tc>
          <w:tcPr>
            <w:tcW w:w="843" w:type="pct"/>
            <w:shd w:val="clear" w:color="auto" w:fill="auto"/>
            <w:vAlign w:val="center"/>
          </w:tcPr>
          <w:p w14:paraId="528848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等线"/>
                <w:color w:val="000000"/>
                <w:kern w:val="0"/>
                <w:sz w:val="22"/>
                <w:szCs w:val="22"/>
                <w:lang w:val="en-US" w:eastAsia="zh-CN"/>
              </w:rPr>
            </w:pPr>
            <w:r>
              <w:rPr>
                <w:rFonts w:eastAsia="等线"/>
                <w:color w:val="000000"/>
                <w:kern w:val="0"/>
                <w:sz w:val="22"/>
                <w:szCs w:val="22"/>
              </w:rPr>
              <w:t>6020012300</w:t>
            </w:r>
            <w:r>
              <w:rPr>
                <w:rFonts w:hint="eastAsia" w:eastAsia="等线"/>
                <w:color w:val="000000"/>
                <w:kern w:val="0"/>
                <w:sz w:val="22"/>
                <w:szCs w:val="22"/>
                <w:lang w:val="en-US" w:eastAsia="zh-CN"/>
              </w:rPr>
              <w:t>2</w:t>
            </w:r>
          </w:p>
        </w:tc>
        <w:tc>
          <w:tcPr>
            <w:tcW w:w="1100" w:type="pct"/>
            <w:shd w:val="clear" w:color="auto" w:fill="auto"/>
            <w:vAlign w:val="center"/>
          </w:tcPr>
          <w:p w14:paraId="0ABE8E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英语演讲（高阶）</w:t>
            </w:r>
          </w:p>
        </w:tc>
        <w:tc>
          <w:tcPr>
            <w:tcW w:w="388" w:type="pct"/>
            <w:shd w:val="clear" w:color="auto" w:fill="auto"/>
            <w:vAlign w:val="center"/>
          </w:tcPr>
          <w:p w14:paraId="153A0D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47461E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095CDF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17307F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258620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38E25FF">
            <w:pPr>
              <w:widowControl/>
              <w:jc w:val="center"/>
              <w:rPr>
                <w:rFonts w:ascii="宋体" w:hAnsi="宋体" w:cs="宋体"/>
                <w:color w:val="000000"/>
                <w:kern w:val="0"/>
                <w:sz w:val="22"/>
                <w:szCs w:val="22"/>
              </w:rPr>
            </w:pPr>
          </w:p>
        </w:tc>
      </w:tr>
      <w:tr w14:paraId="524A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63745B7E">
            <w:pPr>
              <w:widowControl/>
              <w:jc w:val="center"/>
              <w:rPr>
                <w:rFonts w:ascii="宋体" w:hAnsi="宋体" w:cs="宋体"/>
                <w:color w:val="000000"/>
                <w:kern w:val="0"/>
                <w:sz w:val="22"/>
                <w:szCs w:val="22"/>
              </w:rPr>
            </w:pPr>
          </w:p>
        </w:tc>
        <w:tc>
          <w:tcPr>
            <w:tcW w:w="350" w:type="pct"/>
            <w:vMerge w:val="continue"/>
            <w:vAlign w:val="center"/>
          </w:tcPr>
          <w:p w14:paraId="71CDDF56">
            <w:pPr>
              <w:widowControl/>
              <w:jc w:val="center"/>
              <w:rPr>
                <w:rFonts w:ascii="宋体" w:hAnsi="宋体" w:cs="宋体"/>
                <w:color w:val="000000"/>
                <w:kern w:val="0"/>
                <w:sz w:val="22"/>
                <w:szCs w:val="22"/>
              </w:rPr>
            </w:pPr>
          </w:p>
        </w:tc>
        <w:tc>
          <w:tcPr>
            <w:tcW w:w="843" w:type="pct"/>
            <w:shd w:val="clear" w:color="auto" w:fill="auto"/>
            <w:vAlign w:val="center"/>
          </w:tcPr>
          <w:p w14:paraId="28BF4C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40200123001</w:t>
            </w:r>
          </w:p>
        </w:tc>
        <w:tc>
          <w:tcPr>
            <w:tcW w:w="1100" w:type="pct"/>
            <w:shd w:val="clear" w:color="auto" w:fill="auto"/>
            <w:vAlign w:val="center"/>
          </w:tcPr>
          <w:p w14:paraId="5D089F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学术英语读写</w:t>
            </w:r>
          </w:p>
        </w:tc>
        <w:tc>
          <w:tcPr>
            <w:tcW w:w="388" w:type="pct"/>
            <w:shd w:val="clear" w:color="auto" w:fill="auto"/>
            <w:vAlign w:val="center"/>
          </w:tcPr>
          <w:p w14:paraId="711F63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43432B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3C489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6CE96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72B6D1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5E795845">
            <w:pPr>
              <w:widowControl/>
              <w:jc w:val="center"/>
              <w:rPr>
                <w:rFonts w:ascii="宋体" w:hAnsi="宋体" w:cs="宋体"/>
                <w:color w:val="000000"/>
                <w:kern w:val="0"/>
                <w:sz w:val="22"/>
                <w:szCs w:val="22"/>
              </w:rPr>
            </w:pPr>
          </w:p>
        </w:tc>
      </w:tr>
      <w:tr w14:paraId="1CD8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2F288125">
            <w:pPr>
              <w:widowControl/>
              <w:jc w:val="center"/>
              <w:rPr>
                <w:rFonts w:ascii="宋体" w:hAnsi="宋体" w:cs="宋体"/>
                <w:color w:val="000000"/>
                <w:kern w:val="0"/>
                <w:sz w:val="22"/>
                <w:szCs w:val="22"/>
              </w:rPr>
            </w:pPr>
          </w:p>
        </w:tc>
        <w:tc>
          <w:tcPr>
            <w:tcW w:w="350" w:type="pct"/>
            <w:vMerge w:val="continue"/>
            <w:vAlign w:val="center"/>
          </w:tcPr>
          <w:p w14:paraId="5CFC121E">
            <w:pPr>
              <w:widowControl/>
              <w:jc w:val="center"/>
              <w:rPr>
                <w:rFonts w:ascii="宋体" w:hAnsi="宋体" w:cs="宋体"/>
                <w:color w:val="000000"/>
                <w:kern w:val="0"/>
                <w:sz w:val="22"/>
                <w:szCs w:val="22"/>
              </w:rPr>
            </w:pPr>
          </w:p>
        </w:tc>
        <w:tc>
          <w:tcPr>
            <w:tcW w:w="843" w:type="pct"/>
            <w:shd w:val="clear" w:color="auto" w:fill="auto"/>
            <w:vAlign w:val="center"/>
          </w:tcPr>
          <w:p w14:paraId="6773BC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40200123002</w:t>
            </w:r>
          </w:p>
        </w:tc>
        <w:tc>
          <w:tcPr>
            <w:tcW w:w="1100" w:type="pct"/>
            <w:shd w:val="clear" w:color="auto" w:fill="auto"/>
            <w:vAlign w:val="center"/>
          </w:tcPr>
          <w:p w14:paraId="5D9B43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学术英语交流</w:t>
            </w:r>
          </w:p>
        </w:tc>
        <w:tc>
          <w:tcPr>
            <w:tcW w:w="388" w:type="pct"/>
            <w:shd w:val="clear" w:color="auto" w:fill="auto"/>
            <w:vAlign w:val="center"/>
          </w:tcPr>
          <w:p w14:paraId="544516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08566B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6192E9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281380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EF287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3A35ACF6">
            <w:pPr>
              <w:widowControl/>
              <w:jc w:val="center"/>
              <w:rPr>
                <w:rFonts w:ascii="宋体" w:hAnsi="宋体" w:cs="宋体"/>
                <w:color w:val="000000"/>
                <w:kern w:val="0"/>
                <w:sz w:val="22"/>
                <w:szCs w:val="22"/>
              </w:rPr>
            </w:pPr>
          </w:p>
        </w:tc>
      </w:tr>
      <w:tr w14:paraId="4D4B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7F36CDEF">
            <w:pPr>
              <w:widowControl/>
              <w:jc w:val="center"/>
              <w:rPr>
                <w:rFonts w:ascii="宋体" w:hAnsi="宋体" w:cs="宋体"/>
                <w:color w:val="000000"/>
                <w:kern w:val="0"/>
                <w:sz w:val="22"/>
                <w:szCs w:val="22"/>
              </w:rPr>
            </w:pPr>
          </w:p>
        </w:tc>
        <w:tc>
          <w:tcPr>
            <w:tcW w:w="350" w:type="pct"/>
            <w:vMerge w:val="continue"/>
            <w:vAlign w:val="center"/>
          </w:tcPr>
          <w:p w14:paraId="47060D12">
            <w:pPr>
              <w:widowControl/>
              <w:jc w:val="center"/>
              <w:rPr>
                <w:rFonts w:ascii="宋体" w:hAnsi="宋体" w:cs="宋体"/>
                <w:color w:val="000000"/>
                <w:kern w:val="0"/>
                <w:sz w:val="22"/>
                <w:szCs w:val="22"/>
              </w:rPr>
            </w:pPr>
          </w:p>
        </w:tc>
        <w:tc>
          <w:tcPr>
            <w:tcW w:w="843" w:type="pct"/>
            <w:shd w:val="clear" w:color="auto" w:fill="auto"/>
            <w:vAlign w:val="center"/>
          </w:tcPr>
          <w:p w14:paraId="667B2A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40200123003</w:t>
            </w:r>
          </w:p>
        </w:tc>
        <w:tc>
          <w:tcPr>
            <w:tcW w:w="1100" w:type="pct"/>
            <w:shd w:val="clear" w:color="auto" w:fill="auto"/>
            <w:vAlign w:val="center"/>
          </w:tcPr>
          <w:p w14:paraId="2324DD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雅思考试技巧与实践</w:t>
            </w:r>
          </w:p>
        </w:tc>
        <w:tc>
          <w:tcPr>
            <w:tcW w:w="388" w:type="pct"/>
            <w:shd w:val="clear" w:color="auto" w:fill="auto"/>
            <w:vAlign w:val="center"/>
          </w:tcPr>
          <w:p w14:paraId="5775B4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2AD2DC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7420A8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52CE90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2C781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5B16CEB0">
            <w:pPr>
              <w:widowControl/>
              <w:jc w:val="center"/>
              <w:rPr>
                <w:rFonts w:ascii="宋体" w:hAnsi="宋体" w:cs="宋体"/>
                <w:color w:val="000000"/>
                <w:kern w:val="0"/>
                <w:sz w:val="22"/>
                <w:szCs w:val="22"/>
              </w:rPr>
            </w:pPr>
          </w:p>
        </w:tc>
      </w:tr>
      <w:tr w14:paraId="5267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0F2329F8">
            <w:pPr>
              <w:widowControl/>
              <w:jc w:val="center"/>
              <w:rPr>
                <w:rFonts w:ascii="宋体" w:hAnsi="宋体" w:cs="宋体"/>
                <w:color w:val="000000"/>
                <w:kern w:val="0"/>
                <w:sz w:val="22"/>
                <w:szCs w:val="22"/>
              </w:rPr>
            </w:pPr>
          </w:p>
        </w:tc>
        <w:tc>
          <w:tcPr>
            <w:tcW w:w="350" w:type="pct"/>
            <w:vMerge w:val="continue"/>
            <w:vAlign w:val="center"/>
          </w:tcPr>
          <w:p w14:paraId="401E7FE6">
            <w:pPr>
              <w:widowControl/>
              <w:jc w:val="center"/>
              <w:rPr>
                <w:rFonts w:ascii="宋体" w:hAnsi="宋体" w:cs="宋体"/>
                <w:color w:val="000000"/>
                <w:kern w:val="0"/>
                <w:sz w:val="22"/>
                <w:szCs w:val="22"/>
              </w:rPr>
            </w:pPr>
          </w:p>
        </w:tc>
        <w:tc>
          <w:tcPr>
            <w:tcW w:w="843" w:type="pct"/>
            <w:shd w:val="clear" w:color="auto" w:fill="auto"/>
            <w:vAlign w:val="center"/>
          </w:tcPr>
          <w:p w14:paraId="3EF48E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40200123004</w:t>
            </w:r>
          </w:p>
        </w:tc>
        <w:tc>
          <w:tcPr>
            <w:tcW w:w="1100" w:type="pct"/>
            <w:shd w:val="clear" w:color="auto" w:fill="auto"/>
            <w:vAlign w:val="center"/>
          </w:tcPr>
          <w:p w14:paraId="6057AA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托福考试技巧与实践</w:t>
            </w:r>
          </w:p>
        </w:tc>
        <w:tc>
          <w:tcPr>
            <w:tcW w:w="388" w:type="pct"/>
            <w:shd w:val="clear" w:color="auto" w:fill="auto"/>
            <w:vAlign w:val="center"/>
          </w:tcPr>
          <w:p w14:paraId="6BACFD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669D1E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5589E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36E43E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00265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381D4832">
            <w:pPr>
              <w:widowControl/>
              <w:jc w:val="center"/>
              <w:rPr>
                <w:rFonts w:ascii="宋体" w:hAnsi="宋体" w:cs="宋体"/>
                <w:color w:val="000000"/>
                <w:kern w:val="0"/>
                <w:sz w:val="22"/>
                <w:szCs w:val="22"/>
              </w:rPr>
            </w:pPr>
          </w:p>
        </w:tc>
      </w:tr>
      <w:tr w14:paraId="6932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127F5AE7">
            <w:pPr>
              <w:widowControl/>
              <w:jc w:val="center"/>
              <w:rPr>
                <w:rFonts w:ascii="宋体" w:hAnsi="宋体" w:cs="宋体"/>
                <w:color w:val="000000"/>
                <w:kern w:val="0"/>
                <w:sz w:val="22"/>
                <w:szCs w:val="22"/>
              </w:rPr>
            </w:pPr>
          </w:p>
        </w:tc>
        <w:tc>
          <w:tcPr>
            <w:tcW w:w="350" w:type="pct"/>
            <w:vMerge w:val="continue"/>
            <w:vAlign w:val="center"/>
          </w:tcPr>
          <w:p w14:paraId="1D63A16E">
            <w:pPr>
              <w:widowControl/>
              <w:jc w:val="center"/>
              <w:rPr>
                <w:rFonts w:ascii="宋体" w:hAnsi="宋体" w:cs="宋体"/>
                <w:color w:val="000000"/>
                <w:kern w:val="0"/>
                <w:sz w:val="22"/>
                <w:szCs w:val="22"/>
              </w:rPr>
            </w:pPr>
          </w:p>
        </w:tc>
        <w:tc>
          <w:tcPr>
            <w:tcW w:w="843" w:type="pct"/>
            <w:shd w:val="clear" w:color="auto" w:fill="auto"/>
            <w:vAlign w:val="center"/>
          </w:tcPr>
          <w:p w14:paraId="4D0613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40200123005</w:t>
            </w:r>
          </w:p>
        </w:tc>
        <w:tc>
          <w:tcPr>
            <w:tcW w:w="1100" w:type="pct"/>
            <w:shd w:val="clear" w:color="auto" w:fill="auto"/>
            <w:vAlign w:val="center"/>
          </w:tcPr>
          <w:p w14:paraId="503DA9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翻译技巧与实践</w:t>
            </w:r>
          </w:p>
        </w:tc>
        <w:tc>
          <w:tcPr>
            <w:tcW w:w="388" w:type="pct"/>
            <w:shd w:val="clear" w:color="auto" w:fill="auto"/>
            <w:vAlign w:val="center"/>
          </w:tcPr>
          <w:p w14:paraId="0F839E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1B7B7C3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6C964F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6D666F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1E8296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6359AE3">
            <w:pPr>
              <w:widowControl/>
              <w:jc w:val="center"/>
              <w:rPr>
                <w:rFonts w:ascii="宋体" w:hAnsi="宋体" w:cs="宋体"/>
                <w:color w:val="000000"/>
                <w:kern w:val="0"/>
                <w:sz w:val="22"/>
                <w:szCs w:val="22"/>
              </w:rPr>
            </w:pPr>
          </w:p>
        </w:tc>
      </w:tr>
      <w:tr w14:paraId="2B75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7D884DE3">
            <w:pPr>
              <w:widowControl/>
              <w:jc w:val="center"/>
              <w:rPr>
                <w:rFonts w:ascii="宋体" w:hAnsi="宋体" w:cs="宋体"/>
                <w:color w:val="000000"/>
                <w:kern w:val="0"/>
                <w:sz w:val="22"/>
                <w:szCs w:val="22"/>
              </w:rPr>
            </w:pPr>
          </w:p>
        </w:tc>
        <w:tc>
          <w:tcPr>
            <w:tcW w:w="350" w:type="pct"/>
            <w:vMerge w:val="continue"/>
            <w:vAlign w:val="center"/>
          </w:tcPr>
          <w:p w14:paraId="7BA6802B">
            <w:pPr>
              <w:widowControl/>
              <w:jc w:val="center"/>
              <w:rPr>
                <w:rFonts w:ascii="宋体" w:hAnsi="宋体" w:cs="宋体"/>
                <w:color w:val="000000"/>
                <w:kern w:val="0"/>
                <w:sz w:val="22"/>
                <w:szCs w:val="22"/>
              </w:rPr>
            </w:pPr>
          </w:p>
        </w:tc>
        <w:tc>
          <w:tcPr>
            <w:tcW w:w="843" w:type="pct"/>
            <w:shd w:val="clear" w:color="auto" w:fill="auto"/>
            <w:vAlign w:val="center"/>
          </w:tcPr>
          <w:p w14:paraId="6F6989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40200123006</w:t>
            </w:r>
          </w:p>
        </w:tc>
        <w:tc>
          <w:tcPr>
            <w:tcW w:w="1100" w:type="pct"/>
            <w:shd w:val="clear" w:color="auto" w:fill="auto"/>
            <w:vAlign w:val="center"/>
          </w:tcPr>
          <w:p w14:paraId="2E79E5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名剧民品</w:t>
            </w:r>
          </w:p>
        </w:tc>
        <w:tc>
          <w:tcPr>
            <w:tcW w:w="388" w:type="pct"/>
            <w:shd w:val="clear" w:color="auto" w:fill="auto"/>
            <w:vAlign w:val="center"/>
          </w:tcPr>
          <w:p w14:paraId="1504BF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6020B9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2F46D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02B01A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72D2E8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3E92E3BD">
            <w:pPr>
              <w:widowControl/>
              <w:jc w:val="center"/>
              <w:rPr>
                <w:rFonts w:ascii="宋体" w:hAnsi="宋体" w:cs="宋体"/>
                <w:color w:val="000000"/>
                <w:kern w:val="0"/>
                <w:sz w:val="22"/>
                <w:szCs w:val="22"/>
              </w:rPr>
            </w:pPr>
          </w:p>
        </w:tc>
      </w:tr>
      <w:tr w14:paraId="27FC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7E2AC0D2">
            <w:pPr>
              <w:widowControl/>
              <w:jc w:val="center"/>
              <w:rPr>
                <w:rFonts w:ascii="宋体" w:hAnsi="宋体" w:cs="宋体"/>
                <w:color w:val="000000"/>
                <w:kern w:val="0"/>
                <w:sz w:val="22"/>
                <w:szCs w:val="22"/>
              </w:rPr>
            </w:pPr>
          </w:p>
        </w:tc>
        <w:tc>
          <w:tcPr>
            <w:tcW w:w="350" w:type="pct"/>
            <w:vMerge w:val="continue"/>
            <w:vAlign w:val="center"/>
          </w:tcPr>
          <w:p w14:paraId="21202D35">
            <w:pPr>
              <w:widowControl/>
              <w:jc w:val="center"/>
              <w:rPr>
                <w:rFonts w:ascii="宋体" w:hAnsi="宋体" w:cs="宋体"/>
                <w:color w:val="000000"/>
                <w:kern w:val="0"/>
                <w:sz w:val="22"/>
                <w:szCs w:val="22"/>
              </w:rPr>
            </w:pPr>
          </w:p>
        </w:tc>
        <w:tc>
          <w:tcPr>
            <w:tcW w:w="843" w:type="pct"/>
            <w:shd w:val="clear" w:color="auto" w:fill="auto"/>
            <w:vAlign w:val="center"/>
          </w:tcPr>
          <w:p w14:paraId="392CDD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40200123007</w:t>
            </w:r>
          </w:p>
        </w:tc>
        <w:tc>
          <w:tcPr>
            <w:tcW w:w="1100" w:type="pct"/>
            <w:shd w:val="clear" w:color="auto" w:fill="auto"/>
            <w:vAlign w:val="center"/>
          </w:tcPr>
          <w:p w14:paraId="5D367D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英语公共演讲</w:t>
            </w:r>
          </w:p>
        </w:tc>
        <w:tc>
          <w:tcPr>
            <w:tcW w:w="388" w:type="pct"/>
            <w:shd w:val="clear" w:color="auto" w:fill="auto"/>
            <w:vAlign w:val="center"/>
          </w:tcPr>
          <w:p w14:paraId="6B4056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537E6C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33E730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0578E2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0A581B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583E6452">
            <w:pPr>
              <w:widowControl/>
              <w:jc w:val="center"/>
              <w:rPr>
                <w:rFonts w:ascii="宋体" w:hAnsi="宋体" w:cs="宋体"/>
                <w:color w:val="000000"/>
                <w:kern w:val="0"/>
                <w:sz w:val="22"/>
                <w:szCs w:val="22"/>
              </w:rPr>
            </w:pPr>
          </w:p>
        </w:tc>
      </w:tr>
      <w:tr w14:paraId="6583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017EBB91">
            <w:pPr>
              <w:widowControl/>
              <w:jc w:val="center"/>
              <w:rPr>
                <w:rFonts w:ascii="宋体" w:hAnsi="宋体" w:cs="宋体"/>
                <w:color w:val="000000"/>
                <w:kern w:val="0"/>
                <w:sz w:val="22"/>
                <w:szCs w:val="22"/>
              </w:rPr>
            </w:pPr>
          </w:p>
        </w:tc>
        <w:tc>
          <w:tcPr>
            <w:tcW w:w="350" w:type="pct"/>
            <w:vMerge w:val="continue"/>
            <w:vAlign w:val="center"/>
          </w:tcPr>
          <w:p w14:paraId="7B007A19">
            <w:pPr>
              <w:widowControl/>
              <w:jc w:val="center"/>
              <w:rPr>
                <w:rFonts w:ascii="宋体" w:hAnsi="宋体" w:cs="宋体"/>
                <w:color w:val="000000"/>
                <w:kern w:val="0"/>
                <w:sz w:val="22"/>
                <w:szCs w:val="22"/>
              </w:rPr>
            </w:pPr>
          </w:p>
        </w:tc>
        <w:tc>
          <w:tcPr>
            <w:tcW w:w="843" w:type="pct"/>
            <w:shd w:val="clear" w:color="auto" w:fill="auto"/>
            <w:vAlign w:val="center"/>
          </w:tcPr>
          <w:p w14:paraId="6D3DB4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40200123008</w:t>
            </w:r>
          </w:p>
        </w:tc>
        <w:tc>
          <w:tcPr>
            <w:tcW w:w="1100" w:type="pct"/>
            <w:shd w:val="clear" w:color="auto" w:fill="auto"/>
            <w:vAlign w:val="center"/>
          </w:tcPr>
          <w:p w14:paraId="1BE580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研究生英语听说实践</w:t>
            </w:r>
          </w:p>
        </w:tc>
        <w:tc>
          <w:tcPr>
            <w:tcW w:w="388" w:type="pct"/>
            <w:shd w:val="clear" w:color="auto" w:fill="auto"/>
            <w:vAlign w:val="center"/>
          </w:tcPr>
          <w:p w14:paraId="578538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4280B3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5CE8CA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8EC99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20C3CB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634BE38">
            <w:pPr>
              <w:widowControl/>
              <w:jc w:val="center"/>
              <w:rPr>
                <w:rFonts w:ascii="宋体" w:hAnsi="宋体" w:cs="宋体"/>
                <w:color w:val="000000"/>
                <w:kern w:val="0"/>
                <w:sz w:val="22"/>
                <w:szCs w:val="22"/>
              </w:rPr>
            </w:pPr>
          </w:p>
        </w:tc>
      </w:tr>
      <w:tr w14:paraId="083C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0294E2EA">
            <w:pPr>
              <w:widowControl/>
              <w:jc w:val="center"/>
              <w:rPr>
                <w:rFonts w:ascii="宋体" w:hAnsi="宋体" w:cs="宋体"/>
                <w:color w:val="000000"/>
                <w:kern w:val="0"/>
                <w:sz w:val="22"/>
                <w:szCs w:val="22"/>
              </w:rPr>
            </w:pPr>
          </w:p>
        </w:tc>
        <w:tc>
          <w:tcPr>
            <w:tcW w:w="350" w:type="pct"/>
            <w:vMerge w:val="continue"/>
            <w:vAlign w:val="center"/>
          </w:tcPr>
          <w:p w14:paraId="39A4F278">
            <w:pPr>
              <w:widowControl/>
              <w:jc w:val="center"/>
              <w:rPr>
                <w:rFonts w:ascii="宋体" w:hAnsi="宋体" w:cs="宋体"/>
                <w:color w:val="000000"/>
                <w:kern w:val="0"/>
                <w:sz w:val="22"/>
                <w:szCs w:val="22"/>
              </w:rPr>
            </w:pPr>
          </w:p>
        </w:tc>
        <w:tc>
          <w:tcPr>
            <w:tcW w:w="843" w:type="pct"/>
            <w:shd w:val="clear" w:color="auto" w:fill="auto"/>
            <w:vAlign w:val="center"/>
          </w:tcPr>
          <w:p w14:paraId="4AD0A6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bookmarkStart w:id="9" w:name="_GoBack"/>
            <w:bookmarkEnd w:id="9"/>
            <w:r>
              <w:rPr>
                <w:rFonts w:eastAsia="等线"/>
                <w:color w:val="000000"/>
                <w:kern w:val="0"/>
                <w:sz w:val="22"/>
                <w:szCs w:val="22"/>
              </w:rPr>
              <w:t>40200123009</w:t>
            </w:r>
          </w:p>
        </w:tc>
        <w:tc>
          <w:tcPr>
            <w:tcW w:w="1100" w:type="pct"/>
            <w:shd w:val="clear" w:color="auto" w:fill="auto"/>
            <w:vAlign w:val="center"/>
          </w:tcPr>
          <w:p w14:paraId="63AA86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跨文化交际</w:t>
            </w:r>
          </w:p>
        </w:tc>
        <w:tc>
          <w:tcPr>
            <w:tcW w:w="388" w:type="pct"/>
            <w:shd w:val="clear" w:color="auto" w:fill="auto"/>
            <w:vAlign w:val="center"/>
          </w:tcPr>
          <w:p w14:paraId="4F610B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3256D0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03B375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EC2AC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6D046E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DFA63AE">
            <w:pPr>
              <w:widowControl/>
              <w:jc w:val="center"/>
              <w:rPr>
                <w:rFonts w:ascii="宋体" w:hAnsi="宋体" w:cs="宋体"/>
                <w:color w:val="000000"/>
                <w:kern w:val="0"/>
                <w:sz w:val="22"/>
                <w:szCs w:val="22"/>
              </w:rPr>
            </w:pPr>
          </w:p>
        </w:tc>
      </w:tr>
      <w:tr w14:paraId="10B5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24236420">
            <w:pPr>
              <w:widowControl/>
              <w:jc w:val="center"/>
              <w:rPr>
                <w:rFonts w:ascii="宋体" w:hAnsi="宋体" w:cs="宋体"/>
                <w:color w:val="000000"/>
                <w:kern w:val="0"/>
                <w:sz w:val="22"/>
                <w:szCs w:val="22"/>
              </w:rPr>
            </w:pPr>
          </w:p>
        </w:tc>
        <w:tc>
          <w:tcPr>
            <w:tcW w:w="350" w:type="pct"/>
            <w:vMerge w:val="continue"/>
            <w:vAlign w:val="center"/>
          </w:tcPr>
          <w:p w14:paraId="5BBC0062">
            <w:pPr>
              <w:widowControl/>
              <w:jc w:val="center"/>
              <w:rPr>
                <w:rFonts w:ascii="宋体" w:hAnsi="宋体" w:cs="宋体"/>
                <w:color w:val="000000"/>
                <w:kern w:val="0"/>
                <w:sz w:val="22"/>
                <w:szCs w:val="22"/>
              </w:rPr>
            </w:pPr>
          </w:p>
        </w:tc>
        <w:tc>
          <w:tcPr>
            <w:tcW w:w="843" w:type="pct"/>
            <w:shd w:val="clear" w:color="auto" w:fill="auto"/>
            <w:vAlign w:val="center"/>
          </w:tcPr>
          <w:p w14:paraId="3F26FA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40200123010</w:t>
            </w:r>
          </w:p>
        </w:tc>
        <w:tc>
          <w:tcPr>
            <w:tcW w:w="1100" w:type="pct"/>
            <w:shd w:val="clear" w:color="auto" w:fill="auto"/>
            <w:vAlign w:val="center"/>
          </w:tcPr>
          <w:p w14:paraId="57DBEA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科技英语实训</w:t>
            </w:r>
          </w:p>
        </w:tc>
        <w:tc>
          <w:tcPr>
            <w:tcW w:w="388" w:type="pct"/>
            <w:shd w:val="clear" w:color="auto" w:fill="auto"/>
            <w:vAlign w:val="center"/>
          </w:tcPr>
          <w:p w14:paraId="06CD31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5F9C86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0A6E12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BD237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332DEA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4F1858AA">
            <w:pPr>
              <w:widowControl/>
              <w:jc w:val="center"/>
              <w:rPr>
                <w:rFonts w:ascii="宋体" w:hAnsi="宋体" w:cs="宋体"/>
                <w:color w:val="000000"/>
                <w:kern w:val="0"/>
                <w:sz w:val="22"/>
                <w:szCs w:val="22"/>
              </w:rPr>
            </w:pPr>
          </w:p>
        </w:tc>
      </w:tr>
      <w:tr w14:paraId="1E0E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5313CDF7">
            <w:pPr>
              <w:widowControl/>
              <w:jc w:val="center"/>
              <w:rPr>
                <w:rFonts w:ascii="宋体" w:hAnsi="宋体" w:cs="宋体"/>
                <w:color w:val="000000"/>
                <w:kern w:val="0"/>
                <w:sz w:val="22"/>
                <w:szCs w:val="22"/>
              </w:rPr>
            </w:pPr>
          </w:p>
        </w:tc>
        <w:tc>
          <w:tcPr>
            <w:tcW w:w="350" w:type="pct"/>
            <w:vMerge w:val="continue"/>
            <w:vAlign w:val="center"/>
          </w:tcPr>
          <w:p w14:paraId="66B08309">
            <w:pPr>
              <w:widowControl/>
              <w:jc w:val="center"/>
              <w:rPr>
                <w:rFonts w:ascii="宋体" w:hAnsi="宋体" w:cs="宋体"/>
                <w:color w:val="000000"/>
                <w:kern w:val="0"/>
                <w:sz w:val="22"/>
                <w:szCs w:val="22"/>
              </w:rPr>
            </w:pPr>
          </w:p>
        </w:tc>
        <w:tc>
          <w:tcPr>
            <w:tcW w:w="843" w:type="pct"/>
            <w:shd w:val="clear" w:color="auto" w:fill="auto"/>
            <w:vAlign w:val="center"/>
          </w:tcPr>
          <w:p w14:paraId="5A9C34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40200123011</w:t>
            </w:r>
          </w:p>
        </w:tc>
        <w:tc>
          <w:tcPr>
            <w:tcW w:w="1100" w:type="pct"/>
            <w:shd w:val="clear" w:color="auto" w:fill="auto"/>
            <w:vAlign w:val="center"/>
          </w:tcPr>
          <w:p w14:paraId="1A35EC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英语论语导读</w:t>
            </w:r>
          </w:p>
        </w:tc>
        <w:tc>
          <w:tcPr>
            <w:tcW w:w="388" w:type="pct"/>
            <w:shd w:val="clear" w:color="auto" w:fill="auto"/>
            <w:vAlign w:val="center"/>
          </w:tcPr>
          <w:p w14:paraId="764B19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10A911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4E452C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479E88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98CBD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61860855">
            <w:pPr>
              <w:widowControl/>
              <w:jc w:val="center"/>
              <w:rPr>
                <w:rFonts w:ascii="宋体" w:hAnsi="宋体" w:cs="宋体"/>
                <w:color w:val="000000"/>
                <w:kern w:val="0"/>
                <w:sz w:val="22"/>
                <w:szCs w:val="22"/>
              </w:rPr>
            </w:pPr>
          </w:p>
        </w:tc>
      </w:tr>
      <w:tr w14:paraId="1DD5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35BBEA6C">
            <w:pPr>
              <w:widowControl/>
              <w:jc w:val="center"/>
              <w:rPr>
                <w:rFonts w:ascii="宋体" w:hAnsi="宋体" w:cs="宋体"/>
                <w:color w:val="000000"/>
                <w:kern w:val="0"/>
                <w:sz w:val="22"/>
                <w:szCs w:val="22"/>
              </w:rPr>
            </w:pPr>
          </w:p>
        </w:tc>
        <w:tc>
          <w:tcPr>
            <w:tcW w:w="350" w:type="pct"/>
            <w:vMerge w:val="continue"/>
            <w:vAlign w:val="center"/>
          </w:tcPr>
          <w:p w14:paraId="7728B7D4">
            <w:pPr>
              <w:widowControl/>
              <w:jc w:val="center"/>
              <w:rPr>
                <w:rFonts w:ascii="宋体" w:hAnsi="宋体" w:cs="宋体"/>
                <w:color w:val="000000"/>
                <w:kern w:val="0"/>
                <w:sz w:val="22"/>
                <w:szCs w:val="22"/>
              </w:rPr>
            </w:pPr>
          </w:p>
        </w:tc>
        <w:tc>
          <w:tcPr>
            <w:tcW w:w="843" w:type="pct"/>
            <w:shd w:val="clear" w:color="auto" w:fill="auto"/>
            <w:vAlign w:val="center"/>
          </w:tcPr>
          <w:p w14:paraId="0B22C3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40200123012</w:t>
            </w:r>
          </w:p>
        </w:tc>
        <w:tc>
          <w:tcPr>
            <w:tcW w:w="1100" w:type="pct"/>
            <w:shd w:val="clear" w:color="auto" w:fill="auto"/>
            <w:vAlign w:val="center"/>
          </w:tcPr>
          <w:p w14:paraId="5B0E13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学术阅读策略</w:t>
            </w:r>
          </w:p>
        </w:tc>
        <w:tc>
          <w:tcPr>
            <w:tcW w:w="388" w:type="pct"/>
            <w:shd w:val="clear" w:color="auto" w:fill="auto"/>
            <w:vAlign w:val="center"/>
          </w:tcPr>
          <w:p w14:paraId="458AA3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1C48E2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1B6514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306D3D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1A1AFA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3537709">
            <w:pPr>
              <w:widowControl/>
              <w:jc w:val="center"/>
              <w:rPr>
                <w:rFonts w:ascii="宋体" w:hAnsi="宋体" w:cs="宋体"/>
                <w:color w:val="000000"/>
                <w:kern w:val="0"/>
                <w:sz w:val="22"/>
                <w:szCs w:val="22"/>
              </w:rPr>
            </w:pPr>
          </w:p>
        </w:tc>
      </w:tr>
      <w:tr w14:paraId="533D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20BC03A1">
            <w:pPr>
              <w:widowControl/>
              <w:jc w:val="center"/>
              <w:rPr>
                <w:rFonts w:ascii="宋体" w:hAnsi="宋体" w:cs="宋体"/>
                <w:color w:val="000000"/>
                <w:kern w:val="0"/>
                <w:sz w:val="22"/>
                <w:szCs w:val="22"/>
              </w:rPr>
            </w:pPr>
          </w:p>
        </w:tc>
        <w:tc>
          <w:tcPr>
            <w:tcW w:w="350" w:type="pct"/>
            <w:vMerge w:val="continue"/>
            <w:vAlign w:val="center"/>
          </w:tcPr>
          <w:p w14:paraId="7925A125">
            <w:pPr>
              <w:widowControl/>
              <w:jc w:val="center"/>
              <w:rPr>
                <w:rFonts w:ascii="宋体" w:hAnsi="宋体" w:cs="宋体"/>
                <w:color w:val="000000"/>
                <w:kern w:val="0"/>
                <w:sz w:val="22"/>
                <w:szCs w:val="22"/>
              </w:rPr>
            </w:pPr>
          </w:p>
        </w:tc>
        <w:tc>
          <w:tcPr>
            <w:tcW w:w="843" w:type="pct"/>
            <w:shd w:val="clear" w:color="auto" w:fill="auto"/>
            <w:vAlign w:val="center"/>
          </w:tcPr>
          <w:p w14:paraId="7A3CC6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40200123013</w:t>
            </w:r>
          </w:p>
        </w:tc>
        <w:tc>
          <w:tcPr>
            <w:tcW w:w="1100" w:type="pct"/>
            <w:shd w:val="clear" w:color="auto" w:fill="auto"/>
            <w:vAlign w:val="center"/>
          </w:tcPr>
          <w:p w14:paraId="1B7389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学术英语交流与表达</w:t>
            </w:r>
          </w:p>
        </w:tc>
        <w:tc>
          <w:tcPr>
            <w:tcW w:w="388" w:type="pct"/>
            <w:shd w:val="clear" w:color="auto" w:fill="auto"/>
            <w:vAlign w:val="center"/>
          </w:tcPr>
          <w:p w14:paraId="32EAF2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22FFDC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A3A43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2030DE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29B528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4857786D">
            <w:pPr>
              <w:widowControl/>
              <w:jc w:val="center"/>
              <w:rPr>
                <w:rFonts w:ascii="宋体" w:hAnsi="宋体" w:cs="宋体"/>
                <w:color w:val="000000"/>
                <w:kern w:val="0"/>
                <w:sz w:val="22"/>
                <w:szCs w:val="22"/>
              </w:rPr>
            </w:pPr>
          </w:p>
        </w:tc>
      </w:tr>
      <w:tr w14:paraId="0D78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44" w:type="pct"/>
            <w:vMerge w:val="continue"/>
            <w:vAlign w:val="center"/>
          </w:tcPr>
          <w:p w14:paraId="109AD408">
            <w:pPr>
              <w:widowControl/>
              <w:jc w:val="center"/>
              <w:rPr>
                <w:rFonts w:ascii="宋体" w:hAnsi="宋体" w:cs="宋体"/>
                <w:color w:val="000000"/>
                <w:kern w:val="0"/>
                <w:sz w:val="22"/>
                <w:szCs w:val="22"/>
                <w:highlight w:val="none"/>
              </w:rPr>
            </w:pPr>
          </w:p>
        </w:tc>
        <w:tc>
          <w:tcPr>
            <w:tcW w:w="350" w:type="pct"/>
            <w:vMerge w:val="continue"/>
            <w:vAlign w:val="center"/>
          </w:tcPr>
          <w:p w14:paraId="5B1FA0AB">
            <w:pPr>
              <w:widowControl/>
              <w:jc w:val="center"/>
              <w:rPr>
                <w:rFonts w:ascii="宋体" w:hAnsi="宋体" w:cs="宋体"/>
                <w:color w:val="000000"/>
                <w:kern w:val="0"/>
                <w:sz w:val="22"/>
                <w:szCs w:val="22"/>
                <w:highlight w:val="none"/>
              </w:rPr>
            </w:pPr>
          </w:p>
        </w:tc>
        <w:tc>
          <w:tcPr>
            <w:tcW w:w="843" w:type="pct"/>
            <w:shd w:val="clear" w:color="auto" w:fill="auto"/>
            <w:vAlign w:val="center"/>
          </w:tcPr>
          <w:p w14:paraId="6CBE0FC3">
            <w:pPr>
              <w:widowControl/>
              <w:jc w:val="center"/>
              <w:rPr>
                <w:rFonts w:hint="default" w:eastAsia="等线"/>
                <w:color w:val="000000"/>
                <w:kern w:val="0"/>
                <w:sz w:val="22"/>
                <w:szCs w:val="22"/>
                <w:highlight w:val="none"/>
                <w:lang w:val="en-US" w:eastAsia="zh-CN"/>
              </w:rPr>
            </w:pPr>
            <w:r>
              <w:rPr>
                <w:rFonts w:hint="eastAsia" w:eastAsia="等线"/>
                <w:color w:val="000000"/>
                <w:kern w:val="0"/>
                <w:sz w:val="22"/>
                <w:szCs w:val="22"/>
                <w:highlight w:val="none"/>
                <w:shd w:val="clear" w:fill="FFFFFF" w:themeFill="background1"/>
                <w:lang w:val="en-US" w:eastAsia="zh-CN"/>
              </w:rPr>
              <w:t>60200123003-06</w:t>
            </w:r>
          </w:p>
        </w:tc>
        <w:tc>
          <w:tcPr>
            <w:tcW w:w="1100" w:type="pct"/>
            <w:shd w:val="clear" w:color="auto" w:fill="auto"/>
            <w:vAlign w:val="center"/>
          </w:tcPr>
          <w:p w14:paraId="270006AB">
            <w:pPr>
              <w:jc w:val="center"/>
              <w:rPr>
                <w:sz w:val="22"/>
                <w:szCs w:val="22"/>
                <w:highlight w:val="none"/>
              </w:rPr>
            </w:pPr>
            <w:r>
              <w:rPr>
                <w:sz w:val="22"/>
                <w:szCs w:val="22"/>
                <w:highlight w:val="none"/>
              </w:rPr>
              <w:t>第一外国语</w:t>
            </w:r>
          </w:p>
          <w:p w14:paraId="3F7A16A5">
            <w:pPr>
              <w:widowControl/>
              <w:jc w:val="center"/>
              <w:rPr>
                <w:rFonts w:ascii="宋体" w:hAnsi="宋体" w:cs="宋体"/>
                <w:color w:val="000000"/>
                <w:kern w:val="0"/>
                <w:sz w:val="22"/>
                <w:szCs w:val="22"/>
                <w:highlight w:val="none"/>
              </w:rPr>
            </w:pPr>
            <w:r>
              <w:rPr>
                <w:sz w:val="22"/>
                <w:szCs w:val="22"/>
                <w:highlight w:val="none"/>
              </w:rPr>
              <w:t>（日、法、德、俄语）</w:t>
            </w:r>
          </w:p>
        </w:tc>
        <w:tc>
          <w:tcPr>
            <w:tcW w:w="388" w:type="pct"/>
            <w:shd w:val="clear" w:color="auto" w:fill="auto"/>
            <w:vAlign w:val="center"/>
          </w:tcPr>
          <w:p w14:paraId="48D5CC83">
            <w:pPr>
              <w:widowControl/>
              <w:jc w:val="center"/>
              <w:rPr>
                <w:rFonts w:eastAsia="等线"/>
                <w:color w:val="000000"/>
                <w:kern w:val="0"/>
                <w:sz w:val="22"/>
                <w:szCs w:val="22"/>
                <w:highlight w:val="none"/>
              </w:rPr>
            </w:pPr>
            <w:r>
              <w:rPr>
                <w:rFonts w:hint="eastAsia"/>
                <w:sz w:val="22"/>
                <w:szCs w:val="22"/>
                <w:highlight w:val="none"/>
                <w:lang w:val="en-US" w:eastAsia="zh-CN"/>
              </w:rPr>
              <w:t>72</w:t>
            </w:r>
          </w:p>
        </w:tc>
        <w:tc>
          <w:tcPr>
            <w:tcW w:w="337" w:type="pct"/>
            <w:shd w:val="clear" w:color="auto" w:fill="auto"/>
            <w:vAlign w:val="center"/>
          </w:tcPr>
          <w:p w14:paraId="6BC93B11">
            <w:pPr>
              <w:widowControl/>
              <w:jc w:val="center"/>
              <w:rPr>
                <w:rFonts w:eastAsia="等线"/>
                <w:color w:val="000000"/>
                <w:kern w:val="0"/>
                <w:sz w:val="22"/>
                <w:szCs w:val="22"/>
                <w:highlight w:val="none"/>
              </w:rPr>
            </w:pPr>
          </w:p>
        </w:tc>
        <w:tc>
          <w:tcPr>
            <w:tcW w:w="213" w:type="pct"/>
            <w:shd w:val="clear" w:color="auto" w:fill="auto"/>
            <w:vAlign w:val="center"/>
          </w:tcPr>
          <w:p w14:paraId="1BC869F3">
            <w:pPr>
              <w:widowControl/>
              <w:jc w:val="center"/>
              <w:rPr>
                <w:rFonts w:eastAsia="等线"/>
                <w:color w:val="000000"/>
                <w:kern w:val="0"/>
                <w:sz w:val="22"/>
                <w:szCs w:val="22"/>
                <w:highlight w:val="none"/>
              </w:rPr>
            </w:pPr>
            <w:r>
              <w:rPr>
                <w:rFonts w:hint="eastAsia"/>
                <w:sz w:val="22"/>
                <w:szCs w:val="22"/>
                <w:highlight w:val="none"/>
                <w:lang w:val="en-US" w:eastAsia="zh-CN"/>
              </w:rPr>
              <w:t>4</w:t>
            </w:r>
          </w:p>
        </w:tc>
        <w:tc>
          <w:tcPr>
            <w:tcW w:w="351" w:type="pct"/>
            <w:shd w:val="clear" w:color="auto" w:fill="auto"/>
            <w:vAlign w:val="center"/>
          </w:tcPr>
          <w:p w14:paraId="478720CE">
            <w:pPr>
              <w:widowControl/>
              <w:jc w:val="center"/>
              <w:rPr>
                <w:rFonts w:eastAsia="等线"/>
                <w:color w:val="000000"/>
                <w:kern w:val="0"/>
                <w:sz w:val="22"/>
                <w:szCs w:val="22"/>
                <w:highlight w:val="none"/>
              </w:rPr>
            </w:pPr>
            <w:r>
              <w:rPr>
                <w:rFonts w:hint="eastAsia"/>
                <w:sz w:val="22"/>
                <w:szCs w:val="22"/>
                <w:highlight w:val="none"/>
                <w:lang w:val="en-US" w:eastAsia="zh-CN"/>
              </w:rPr>
              <w:t>2</w:t>
            </w:r>
          </w:p>
        </w:tc>
        <w:tc>
          <w:tcPr>
            <w:tcW w:w="676" w:type="pct"/>
            <w:shd w:val="clear" w:color="auto" w:fill="auto"/>
            <w:vAlign w:val="center"/>
          </w:tcPr>
          <w:p w14:paraId="03330749">
            <w:pPr>
              <w:jc w:val="center"/>
              <w:rPr>
                <w:sz w:val="22"/>
                <w:szCs w:val="22"/>
                <w:highlight w:val="none"/>
              </w:rPr>
            </w:pPr>
            <w:r>
              <w:rPr>
                <w:sz w:val="22"/>
                <w:szCs w:val="22"/>
                <w:highlight w:val="none"/>
              </w:rPr>
              <w:t>外国语</w:t>
            </w:r>
          </w:p>
          <w:p w14:paraId="4297734C">
            <w:pPr>
              <w:widowControl/>
              <w:jc w:val="center"/>
              <w:rPr>
                <w:rFonts w:ascii="宋体" w:hAnsi="宋体" w:cs="宋体"/>
                <w:color w:val="000000"/>
                <w:kern w:val="0"/>
                <w:sz w:val="22"/>
                <w:szCs w:val="22"/>
                <w:highlight w:val="none"/>
              </w:rPr>
            </w:pPr>
            <w:r>
              <w:rPr>
                <w:sz w:val="22"/>
                <w:szCs w:val="22"/>
                <w:highlight w:val="none"/>
              </w:rPr>
              <w:t>学院</w:t>
            </w:r>
          </w:p>
        </w:tc>
        <w:tc>
          <w:tcPr>
            <w:tcW w:w="394" w:type="pct"/>
            <w:shd w:val="clear" w:color="auto" w:fill="auto"/>
            <w:vAlign w:val="center"/>
          </w:tcPr>
          <w:p w14:paraId="510672BC">
            <w:pPr>
              <w:widowControl/>
              <w:jc w:val="center"/>
              <w:rPr>
                <w:rFonts w:eastAsia="等线"/>
                <w:color w:val="000000"/>
                <w:kern w:val="0"/>
                <w:sz w:val="22"/>
                <w:szCs w:val="22"/>
                <w:highlight w:val="none"/>
              </w:rPr>
            </w:pPr>
          </w:p>
        </w:tc>
      </w:tr>
      <w:tr w14:paraId="554A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44" w:type="pct"/>
            <w:vMerge w:val="continue"/>
            <w:vAlign w:val="center"/>
          </w:tcPr>
          <w:p w14:paraId="3E77C11B">
            <w:pPr>
              <w:widowControl/>
              <w:jc w:val="center"/>
              <w:rPr>
                <w:rFonts w:ascii="宋体" w:hAnsi="宋体" w:cs="宋体"/>
                <w:color w:val="000000"/>
                <w:kern w:val="0"/>
                <w:sz w:val="22"/>
                <w:szCs w:val="22"/>
                <w:highlight w:val="none"/>
              </w:rPr>
            </w:pPr>
          </w:p>
        </w:tc>
        <w:tc>
          <w:tcPr>
            <w:tcW w:w="350" w:type="pct"/>
            <w:shd w:val="clear" w:color="auto" w:fill="auto"/>
            <w:vAlign w:val="center"/>
          </w:tcPr>
          <w:p w14:paraId="595DF50B">
            <w:pPr>
              <w:widowControl/>
              <w:ind w:left="-105" w:leftChars="-50" w:right="-105" w:rightChars="-50"/>
              <w:jc w:val="center"/>
              <w:rPr>
                <w:bCs/>
                <w:sz w:val="22"/>
                <w:highlight w:val="none"/>
              </w:rPr>
            </w:pPr>
            <w:r>
              <w:rPr>
                <w:bCs/>
                <w:sz w:val="22"/>
                <w:highlight w:val="none"/>
              </w:rPr>
              <w:t>思政</w:t>
            </w:r>
          </w:p>
          <w:p w14:paraId="3EA74806">
            <w:pPr>
              <w:widowControl/>
              <w:ind w:left="-105" w:leftChars="-50" w:right="-105" w:rightChars="-50"/>
              <w:jc w:val="center"/>
              <w:rPr>
                <w:rFonts w:ascii="宋体" w:hAnsi="宋体" w:cs="宋体"/>
                <w:color w:val="000000"/>
                <w:kern w:val="0"/>
                <w:sz w:val="22"/>
                <w:szCs w:val="22"/>
                <w:highlight w:val="none"/>
              </w:rPr>
            </w:pPr>
            <w:r>
              <w:rPr>
                <w:bCs/>
                <w:sz w:val="22"/>
                <w:highlight w:val="none"/>
              </w:rPr>
              <w:t>（2学分）</w:t>
            </w:r>
          </w:p>
        </w:tc>
        <w:tc>
          <w:tcPr>
            <w:tcW w:w="843" w:type="pct"/>
            <w:shd w:val="clear" w:color="auto" w:fill="auto"/>
            <w:vAlign w:val="center"/>
          </w:tcPr>
          <w:p w14:paraId="549F08DE">
            <w:pPr>
              <w:widowControl/>
              <w:jc w:val="center"/>
              <w:rPr>
                <w:rFonts w:eastAsia="等线"/>
                <w:color w:val="000000"/>
                <w:kern w:val="0"/>
                <w:sz w:val="22"/>
                <w:szCs w:val="22"/>
                <w:highlight w:val="none"/>
              </w:rPr>
            </w:pPr>
            <w:r>
              <w:rPr>
                <w:rFonts w:hint="eastAsia"/>
                <w:bCs/>
                <w:sz w:val="22"/>
                <w:highlight w:val="none"/>
                <w:lang w:val="en-US" w:eastAsia="zh-CN"/>
              </w:rPr>
              <w:t>60210123001</w:t>
            </w:r>
          </w:p>
        </w:tc>
        <w:tc>
          <w:tcPr>
            <w:tcW w:w="1100" w:type="pct"/>
            <w:shd w:val="clear" w:color="auto" w:fill="auto"/>
            <w:vAlign w:val="center"/>
          </w:tcPr>
          <w:p w14:paraId="56E5EC5F">
            <w:pPr>
              <w:widowControl/>
              <w:jc w:val="center"/>
              <w:rPr>
                <w:rFonts w:ascii="宋体" w:hAnsi="宋体" w:cs="宋体"/>
                <w:color w:val="000000"/>
                <w:kern w:val="0"/>
                <w:sz w:val="22"/>
                <w:szCs w:val="22"/>
                <w:highlight w:val="none"/>
              </w:rPr>
            </w:pPr>
            <w:r>
              <w:rPr>
                <w:sz w:val="22"/>
                <w:szCs w:val="22"/>
                <w:highlight w:val="none"/>
              </w:rPr>
              <w:t>中国马克思主义与当代</w:t>
            </w:r>
          </w:p>
        </w:tc>
        <w:tc>
          <w:tcPr>
            <w:tcW w:w="388" w:type="pct"/>
            <w:shd w:val="clear" w:color="auto" w:fill="auto"/>
            <w:vAlign w:val="center"/>
          </w:tcPr>
          <w:p w14:paraId="60145543">
            <w:pPr>
              <w:widowControl/>
              <w:jc w:val="center"/>
              <w:rPr>
                <w:rFonts w:eastAsia="等线"/>
                <w:color w:val="000000"/>
                <w:kern w:val="0"/>
                <w:sz w:val="22"/>
                <w:szCs w:val="22"/>
                <w:highlight w:val="none"/>
              </w:rPr>
            </w:pPr>
            <w:r>
              <w:rPr>
                <w:sz w:val="22"/>
                <w:szCs w:val="22"/>
                <w:highlight w:val="none"/>
              </w:rPr>
              <w:t>36</w:t>
            </w:r>
          </w:p>
        </w:tc>
        <w:tc>
          <w:tcPr>
            <w:tcW w:w="337" w:type="pct"/>
            <w:shd w:val="clear" w:color="auto" w:fill="auto"/>
            <w:vAlign w:val="center"/>
          </w:tcPr>
          <w:p w14:paraId="2FFBD3F6">
            <w:pPr>
              <w:widowControl/>
              <w:jc w:val="left"/>
              <w:rPr>
                <w:rFonts w:eastAsia="等线"/>
                <w:color w:val="000000"/>
                <w:kern w:val="0"/>
                <w:sz w:val="22"/>
                <w:szCs w:val="22"/>
                <w:highlight w:val="none"/>
              </w:rPr>
            </w:pPr>
          </w:p>
        </w:tc>
        <w:tc>
          <w:tcPr>
            <w:tcW w:w="213" w:type="pct"/>
            <w:shd w:val="clear" w:color="auto" w:fill="auto"/>
            <w:vAlign w:val="center"/>
          </w:tcPr>
          <w:p w14:paraId="2103152F">
            <w:pPr>
              <w:widowControl/>
              <w:jc w:val="center"/>
              <w:rPr>
                <w:rFonts w:eastAsia="等线"/>
                <w:color w:val="000000"/>
                <w:kern w:val="0"/>
                <w:sz w:val="22"/>
                <w:szCs w:val="22"/>
                <w:highlight w:val="none"/>
              </w:rPr>
            </w:pPr>
            <w:r>
              <w:rPr>
                <w:sz w:val="22"/>
                <w:szCs w:val="22"/>
                <w:highlight w:val="none"/>
              </w:rPr>
              <w:t>2</w:t>
            </w:r>
          </w:p>
        </w:tc>
        <w:tc>
          <w:tcPr>
            <w:tcW w:w="351" w:type="pct"/>
            <w:shd w:val="clear" w:color="auto" w:fill="auto"/>
            <w:vAlign w:val="center"/>
          </w:tcPr>
          <w:p w14:paraId="3C85C661">
            <w:pPr>
              <w:widowControl/>
              <w:jc w:val="center"/>
              <w:rPr>
                <w:rFonts w:eastAsia="等线"/>
                <w:color w:val="000000"/>
                <w:kern w:val="0"/>
                <w:sz w:val="22"/>
                <w:szCs w:val="22"/>
                <w:highlight w:val="none"/>
              </w:rPr>
            </w:pPr>
            <w:r>
              <w:rPr>
                <w:sz w:val="22"/>
                <w:szCs w:val="22"/>
                <w:highlight w:val="none"/>
              </w:rPr>
              <w:t>1</w:t>
            </w:r>
          </w:p>
        </w:tc>
        <w:tc>
          <w:tcPr>
            <w:tcW w:w="676" w:type="pct"/>
            <w:shd w:val="clear" w:color="auto" w:fill="auto"/>
            <w:vAlign w:val="center"/>
          </w:tcPr>
          <w:p w14:paraId="6B606FC5">
            <w:pPr>
              <w:widowControl/>
              <w:jc w:val="center"/>
              <w:rPr>
                <w:rFonts w:ascii="宋体" w:hAnsi="宋体" w:cs="宋体"/>
                <w:color w:val="000000"/>
                <w:kern w:val="0"/>
                <w:sz w:val="22"/>
                <w:szCs w:val="22"/>
                <w:highlight w:val="none"/>
              </w:rPr>
            </w:pPr>
            <w:r>
              <w:rPr>
                <w:sz w:val="22"/>
                <w:szCs w:val="22"/>
                <w:highlight w:val="none"/>
              </w:rPr>
              <w:t>马克思主义学院</w:t>
            </w:r>
          </w:p>
        </w:tc>
        <w:tc>
          <w:tcPr>
            <w:tcW w:w="394" w:type="pct"/>
            <w:shd w:val="clear" w:color="auto" w:fill="auto"/>
            <w:vAlign w:val="center"/>
          </w:tcPr>
          <w:p w14:paraId="525FB1D0">
            <w:pPr>
              <w:widowControl/>
              <w:jc w:val="center"/>
              <w:rPr>
                <w:rFonts w:eastAsia="等线"/>
                <w:color w:val="000000"/>
                <w:kern w:val="0"/>
                <w:sz w:val="22"/>
                <w:szCs w:val="22"/>
                <w:highlight w:val="none"/>
              </w:rPr>
            </w:pPr>
          </w:p>
        </w:tc>
      </w:tr>
      <w:tr w14:paraId="3D8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restart"/>
            <w:shd w:val="clear" w:color="auto" w:fill="auto"/>
            <w:vAlign w:val="center"/>
          </w:tcPr>
          <w:p w14:paraId="3424F82E">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专业学位课（</w:t>
            </w:r>
            <w:r>
              <w:rPr>
                <w:color w:val="000000"/>
                <w:kern w:val="0"/>
                <w:sz w:val="22"/>
                <w:szCs w:val="22"/>
              </w:rPr>
              <w:t>4</w:t>
            </w:r>
            <w:r>
              <w:rPr>
                <w:rFonts w:hint="eastAsia" w:ascii="宋体" w:hAnsi="宋体" w:cs="宋体"/>
                <w:color w:val="000000"/>
                <w:kern w:val="0"/>
                <w:sz w:val="22"/>
                <w:szCs w:val="22"/>
              </w:rPr>
              <w:t>学分）</w:t>
            </w:r>
          </w:p>
        </w:tc>
        <w:tc>
          <w:tcPr>
            <w:tcW w:w="843" w:type="pct"/>
            <w:shd w:val="clear" w:color="auto" w:fill="auto"/>
            <w:vAlign w:val="center"/>
          </w:tcPr>
          <w:p w14:paraId="3CFF9D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60100223101</w:t>
            </w:r>
          </w:p>
        </w:tc>
        <w:tc>
          <w:tcPr>
            <w:tcW w:w="1100" w:type="pct"/>
            <w:shd w:val="clear" w:color="auto" w:fill="auto"/>
            <w:vAlign w:val="center"/>
          </w:tcPr>
          <w:p w14:paraId="6540BB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爆炸动力学</w:t>
            </w:r>
          </w:p>
        </w:tc>
        <w:tc>
          <w:tcPr>
            <w:tcW w:w="388" w:type="pct"/>
            <w:shd w:val="clear" w:color="auto" w:fill="auto"/>
            <w:vAlign w:val="center"/>
          </w:tcPr>
          <w:p w14:paraId="755BA9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731891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70BFA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16A075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676" w:type="pct"/>
            <w:shd w:val="clear" w:color="auto" w:fill="auto"/>
            <w:vAlign w:val="center"/>
          </w:tcPr>
          <w:p w14:paraId="2304BC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vMerge w:val="restart"/>
            <w:shd w:val="clear" w:color="auto" w:fill="auto"/>
            <w:vAlign w:val="center"/>
          </w:tcPr>
          <w:p w14:paraId="51E0CB26">
            <w:pPr>
              <w:widowControl/>
              <w:jc w:val="center"/>
              <w:rPr>
                <w:rFonts w:ascii="宋体" w:hAnsi="宋体" w:cs="宋体"/>
                <w:color w:val="000000"/>
                <w:kern w:val="0"/>
                <w:sz w:val="22"/>
                <w:szCs w:val="22"/>
              </w:rPr>
            </w:pPr>
            <w:r>
              <w:rPr>
                <w:rFonts w:hint="eastAsia" w:ascii="宋体" w:hAnsi="宋体" w:cs="宋体"/>
                <w:color w:val="000000"/>
                <w:kern w:val="0"/>
                <w:sz w:val="22"/>
                <w:szCs w:val="22"/>
              </w:rPr>
              <w:t>方向1、2</w:t>
            </w:r>
          </w:p>
        </w:tc>
      </w:tr>
      <w:tr w14:paraId="5AF6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continue"/>
            <w:vAlign w:val="center"/>
          </w:tcPr>
          <w:p w14:paraId="7B2ED74A">
            <w:pPr>
              <w:widowControl/>
              <w:jc w:val="center"/>
              <w:rPr>
                <w:rFonts w:ascii="宋体" w:hAnsi="宋体" w:cs="宋体"/>
                <w:color w:val="000000"/>
                <w:kern w:val="0"/>
                <w:sz w:val="22"/>
                <w:szCs w:val="22"/>
              </w:rPr>
            </w:pPr>
          </w:p>
        </w:tc>
        <w:tc>
          <w:tcPr>
            <w:tcW w:w="843" w:type="pct"/>
            <w:shd w:val="clear" w:color="auto" w:fill="auto"/>
            <w:vAlign w:val="center"/>
          </w:tcPr>
          <w:p w14:paraId="327179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60100223102</w:t>
            </w:r>
          </w:p>
        </w:tc>
        <w:tc>
          <w:tcPr>
            <w:tcW w:w="1100" w:type="pct"/>
            <w:shd w:val="clear" w:color="auto" w:fill="auto"/>
            <w:vAlign w:val="center"/>
          </w:tcPr>
          <w:p w14:paraId="121B1D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岩石力学新理论</w:t>
            </w:r>
          </w:p>
        </w:tc>
        <w:tc>
          <w:tcPr>
            <w:tcW w:w="388" w:type="pct"/>
            <w:shd w:val="clear" w:color="auto" w:fill="auto"/>
            <w:vAlign w:val="center"/>
          </w:tcPr>
          <w:p w14:paraId="19FE48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270D2D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3A5087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1151A9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676" w:type="pct"/>
            <w:shd w:val="clear" w:color="auto" w:fill="auto"/>
            <w:vAlign w:val="center"/>
          </w:tcPr>
          <w:p w14:paraId="1534C3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vMerge w:val="continue"/>
            <w:vAlign w:val="center"/>
          </w:tcPr>
          <w:p w14:paraId="403BDB59">
            <w:pPr>
              <w:widowControl/>
              <w:jc w:val="center"/>
              <w:rPr>
                <w:rFonts w:ascii="宋体" w:hAnsi="宋体" w:cs="宋体"/>
                <w:color w:val="000000"/>
                <w:kern w:val="0"/>
                <w:sz w:val="22"/>
                <w:szCs w:val="22"/>
              </w:rPr>
            </w:pPr>
          </w:p>
        </w:tc>
      </w:tr>
      <w:tr w14:paraId="4CC2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continue"/>
            <w:vAlign w:val="center"/>
          </w:tcPr>
          <w:p w14:paraId="21267966">
            <w:pPr>
              <w:widowControl/>
              <w:jc w:val="center"/>
              <w:rPr>
                <w:rFonts w:ascii="宋体" w:hAnsi="宋体" w:cs="宋体"/>
                <w:color w:val="000000"/>
                <w:kern w:val="0"/>
                <w:sz w:val="22"/>
                <w:szCs w:val="22"/>
              </w:rPr>
            </w:pPr>
          </w:p>
        </w:tc>
        <w:tc>
          <w:tcPr>
            <w:tcW w:w="843" w:type="pct"/>
            <w:shd w:val="clear" w:color="auto" w:fill="auto"/>
            <w:vAlign w:val="center"/>
          </w:tcPr>
          <w:p w14:paraId="5DC41F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60100223201</w:t>
            </w:r>
          </w:p>
        </w:tc>
        <w:tc>
          <w:tcPr>
            <w:tcW w:w="1100" w:type="pct"/>
            <w:shd w:val="clear" w:color="auto" w:fill="auto"/>
            <w:vAlign w:val="center"/>
          </w:tcPr>
          <w:p w14:paraId="3166A7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矿物加工工程专论</w:t>
            </w:r>
          </w:p>
        </w:tc>
        <w:tc>
          <w:tcPr>
            <w:tcW w:w="388" w:type="pct"/>
            <w:shd w:val="clear" w:color="auto" w:fill="auto"/>
            <w:vAlign w:val="center"/>
          </w:tcPr>
          <w:p w14:paraId="41EF71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36</w:t>
            </w:r>
          </w:p>
        </w:tc>
        <w:tc>
          <w:tcPr>
            <w:tcW w:w="337" w:type="pct"/>
            <w:shd w:val="clear" w:color="auto" w:fill="auto"/>
            <w:vAlign w:val="center"/>
          </w:tcPr>
          <w:p w14:paraId="61FC1D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1A4F3F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2</w:t>
            </w:r>
          </w:p>
        </w:tc>
        <w:tc>
          <w:tcPr>
            <w:tcW w:w="351" w:type="pct"/>
            <w:shd w:val="clear" w:color="auto" w:fill="auto"/>
            <w:vAlign w:val="center"/>
          </w:tcPr>
          <w:p w14:paraId="05180B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1</w:t>
            </w:r>
          </w:p>
        </w:tc>
        <w:tc>
          <w:tcPr>
            <w:tcW w:w="676" w:type="pct"/>
            <w:shd w:val="clear" w:color="auto" w:fill="auto"/>
            <w:vAlign w:val="center"/>
          </w:tcPr>
          <w:p w14:paraId="21113A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资环学院</w:t>
            </w:r>
          </w:p>
        </w:tc>
        <w:tc>
          <w:tcPr>
            <w:tcW w:w="394" w:type="pct"/>
            <w:vMerge w:val="restart"/>
            <w:shd w:val="clear" w:color="auto" w:fill="auto"/>
            <w:vAlign w:val="center"/>
          </w:tcPr>
          <w:p w14:paraId="7FDC59D6">
            <w:pPr>
              <w:widowControl/>
              <w:jc w:val="center"/>
              <w:rPr>
                <w:rFonts w:ascii="宋体" w:hAnsi="宋体" w:cs="宋体"/>
                <w:color w:val="000000"/>
                <w:kern w:val="0"/>
                <w:sz w:val="22"/>
                <w:szCs w:val="22"/>
              </w:rPr>
            </w:pPr>
            <w:r>
              <w:rPr>
                <w:rFonts w:hint="eastAsia" w:ascii="宋体" w:hAnsi="宋体" w:cs="宋体"/>
                <w:color w:val="000000"/>
                <w:kern w:val="0"/>
                <w:sz w:val="22"/>
                <w:szCs w:val="22"/>
              </w:rPr>
              <w:t>方向3、4、5</w:t>
            </w:r>
          </w:p>
        </w:tc>
      </w:tr>
      <w:tr w14:paraId="6BF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95" w:type="pct"/>
            <w:gridSpan w:val="2"/>
            <w:vMerge w:val="continue"/>
            <w:vAlign w:val="center"/>
          </w:tcPr>
          <w:p w14:paraId="6CEF9DDC">
            <w:pPr>
              <w:widowControl/>
              <w:jc w:val="center"/>
              <w:rPr>
                <w:rFonts w:ascii="宋体" w:hAnsi="宋体" w:cs="宋体"/>
                <w:color w:val="000000"/>
                <w:kern w:val="0"/>
                <w:sz w:val="22"/>
                <w:szCs w:val="22"/>
              </w:rPr>
            </w:pPr>
          </w:p>
        </w:tc>
        <w:tc>
          <w:tcPr>
            <w:tcW w:w="843" w:type="pct"/>
            <w:shd w:val="clear" w:color="auto" w:fill="auto"/>
            <w:vAlign w:val="center"/>
          </w:tcPr>
          <w:p w14:paraId="03CBB9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60100223202</w:t>
            </w:r>
          </w:p>
        </w:tc>
        <w:tc>
          <w:tcPr>
            <w:tcW w:w="1100" w:type="pct"/>
            <w:shd w:val="clear" w:color="auto" w:fill="auto"/>
            <w:vAlign w:val="center"/>
          </w:tcPr>
          <w:p w14:paraId="664E31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矿物材料科学</w:t>
            </w:r>
          </w:p>
        </w:tc>
        <w:tc>
          <w:tcPr>
            <w:tcW w:w="388" w:type="pct"/>
            <w:shd w:val="clear" w:color="auto" w:fill="auto"/>
            <w:vAlign w:val="center"/>
          </w:tcPr>
          <w:p w14:paraId="7D27FC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36</w:t>
            </w:r>
          </w:p>
        </w:tc>
        <w:tc>
          <w:tcPr>
            <w:tcW w:w="337" w:type="pct"/>
            <w:shd w:val="clear" w:color="auto" w:fill="auto"/>
            <w:vAlign w:val="center"/>
          </w:tcPr>
          <w:p w14:paraId="49D88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66FB8E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2</w:t>
            </w:r>
          </w:p>
        </w:tc>
        <w:tc>
          <w:tcPr>
            <w:tcW w:w="351" w:type="pct"/>
            <w:shd w:val="clear" w:color="auto" w:fill="auto"/>
            <w:vAlign w:val="center"/>
          </w:tcPr>
          <w:p w14:paraId="0ABECA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1</w:t>
            </w:r>
          </w:p>
        </w:tc>
        <w:tc>
          <w:tcPr>
            <w:tcW w:w="676" w:type="pct"/>
            <w:shd w:val="clear" w:color="auto" w:fill="auto"/>
            <w:vAlign w:val="center"/>
          </w:tcPr>
          <w:p w14:paraId="1DF0C3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资环学院</w:t>
            </w:r>
          </w:p>
        </w:tc>
        <w:tc>
          <w:tcPr>
            <w:tcW w:w="394" w:type="pct"/>
            <w:vMerge w:val="continue"/>
            <w:vAlign w:val="center"/>
          </w:tcPr>
          <w:p w14:paraId="6211A952">
            <w:pPr>
              <w:widowControl/>
              <w:jc w:val="center"/>
              <w:rPr>
                <w:rFonts w:ascii="宋体" w:hAnsi="宋体" w:cs="宋体"/>
                <w:color w:val="000000"/>
                <w:kern w:val="0"/>
                <w:sz w:val="22"/>
                <w:szCs w:val="22"/>
              </w:rPr>
            </w:pPr>
          </w:p>
        </w:tc>
      </w:tr>
      <w:tr w14:paraId="79DB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95" w:type="pct"/>
            <w:gridSpan w:val="2"/>
            <w:shd w:val="clear" w:color="auto" w:fill="auto"/>
            <w:vAlign w:val="center"/>
          </w:tcPr>
          <w:p w14:paraId="382D188C">
            <w:pPr>
              <w:widowControl/>
              <w:jc w:val="center"/>
              <w:rPr>
                <w:rFonts w:ascii="宋体" w:hAnsi="宋体" w:cs="宋体"/>
                <w:color w:val="000000"/>
                <w:kern w:val="0"/>
                <w:sz w:val="22"/>
                <w:szCs w:val="22"/>
              </w:rPr>
            </w:pPr>
            <w:r>
              <w:rPr>
                <w:rFonts w:hint="eastAsia" w:ascii="宋体" w:hAnsi="宋体" w:cs="宋体"/>
                <w:color w:val="000000"/>
                <w:kern w:val="0"/>
                <w:sz w:val="22"/>
                <w:szCs w:val="22"/>
              </w:rPr>
              <w:t>选修课（</w:t>
            </w:r>
            <w:r>
              <w:rPr>
                <w:color w:val="000000"/>
                <w:kern w:val="0"/>
                <w:sz w:val="22"/>
                <w:szCs w:val="22"/>
              </w:rPr>
              <w:t>4</w:t>
            </w:r>
            <w:r>
              <w:rPr>
                <w:rFonts w:hint="eastAsia" w:ascii="宋体" w:hAnsi="宋体" w:cs="宋体"/>
                <w:color w:val="000000"/>
                <w:kern w:val="0"/>
                <w:sz w:val="22"/>
                <w:szCs w:val="22"/>
              </w:rPr>
              <w:t>学分）</w:t>
            </w:r>
          </w:p>
        </w:tc>
        <w:tc>
          <w:tcPr>
            <w:tcW w:w="4304" w:type="pct"/>
            <w:gridSpan w:val="8"/>
            <w:shd w:val="clear" w:color="auto" w:fill="auto"/>
            <w:vAlign w:val="center"/>
          </w:tcPr>
          <w:p w14:paraId="4EE01863">
            <w:pPr>
              <w:widowControl/>
              <w:jc w:val="left"/>
              <w:rPr>
                <w:rFonts w:ascii="宋体" w:hAnsi="宋体" w:cs="宋体"/>
                <w:color w:val="000000"/>
                <w:kern w:val="0"/>
                <w:sz w:val="22"/>
                <w:szCs w:val="22"/>
              </w:rPr>
            </w:pPr>
            <w:r>
              <w:rPr>
                <w:rFonts w:hint="eastAsia" w:ascii="宋体" w:hAnsi="宋体" w:cs="宋体"/>
                <w:color w:val="000000"/>
                <w:kern w:val="0"/>
                <w:sz w:val="22"/>
                <w:szCs w:val="22"/>
              </w:rPr>
              <w:t>可任意选修各学院开设的研究生课程、本科生课程（具体课程清单见附件，选修本科生课程不计入总学分），</w:t>
            </w:r>
            <w:r>
              <w:rPr>
                <w:rFonts w:hint="eastAsia"/>
                <w:kern w:val="0"/>
                <w:sz w:val="22"/>
              </w:rPr>
              <w:t>硕士阶段未修</w:t>
            </w:r>
            <w:r>
              <w:rPr>
                <w:rFonts w:hint="eastAsia"/>
                <w:kern w:val="0"/>
                <w:sz w:val="22"/>
                <w:lang w:val="en-US" w:eastAsia="zh-CN"/>
              </w:rPr>
              <w:t>第二外国语的</w:t>
            </w:r>
            <w:r>
              <w:rPr>
                <w:rFonts w:hint="eastAsia"/>
                <w:kern w:val="0"/>
                <w:sz w:val="22"/>
              </w:rPr>
              <w:t>必选</w:t>
            </w:r>
            <w:r>
              <w:rPr>
                <w:rFonts w:hint="eastAsia"/>
                <w:kern w:val="0"/>
                <w:sz w:val="22"/>
                <w:lang w:val="en-US" w:eastAsia="zh-CN"/>
              </w:rPr>
              <w:t>1门二外课程</w:t>
            </w:r>
            <w:r>
              <w:rPr>
                <w:rFonts w:hint="eastAsia" w:ascii="宋体" w:hAnsi="宋体" w:cs="宋体"/>
                <w:color w:val="000000"/>
                <w:kern w:val="0"/>
                <w:sz w:val="22"/>
                <w:szCs w:val="22"/>
              </w:rPr>
              <w:t>。</w:t>
            </w:r>
          </w:p>
        </w:tc>
      </w:tr>
      <w:tr w14:paraId="1144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restart"/>
            <w:shd w:val="clear" w:color="auto" w:fill="auto"/>
            <w:vAlign w:val="center"/>
          </w:tcPr>
          <w:p w14:paraId="4DBE5FA7">
            <w:pPr>
              <w:widowControl/>
              <w:jc w:val="center"/>
              <w:rPr>
                <w:rFonts w:ascii="宋体" w:hAnsi="宋体" w:cs="宋体"/>
                <w:color w:val="000000"/>
                <w:kern w:val="0"/>
                <w:sz w:val="22"/>
                <w:szCs w:val="22"/>
              </w:rPr>
            </w:pPr>
            <w:r>
              <w:rPr>
                <w:rFonts w:hint="eastAsia" w:ascii="宋体" w:hAnsi="宋体" w:cs="宋体"/>
                <w:color w:val="000000"/>
                <w:kern w:val="0"/>
                <w:sz w:val="22"/>
                <w:szCs w:val="22"/>
              </w:rPr>
              <w:t>必修环节（</w:t>
            </w:r>
            <w:r>
              <w:rPr>
                <w:color w:val="000000"/>
                <w:kern w:val="0"/>
                <w:sz w:val="22"/>
                <w:szCs w:val="22"/>
              </w:rPr>
              <w:t>5</w:t>
            </w:r>
            <w:r>
              <w:rPr>
                <w:rFonts w:hint="eastAsia" w:ascii="宋体" w:hAnsi="宋体" w:cs="宋体"/>
                <w:color w:val="000000"/>
                <w:kern w:val="0"/>
                <w:sz w:val="22"/>
                <w:szCs w:val="22"/>
              </w:rPr>
              <w:t>学分）</w:t>
            </w:r>
          </w:p>
        </w:tc>
        <w:tc>
          <w:tcPr>
            <w:tcW w:w="843" w:type="pct"/>
            <w:shd w:val="clear" w:color="auto" w:fill="auto"/>
            <w:vAlign w:val="center"/>
          </w:tcPr>
          <w:p w14:paraId="3D9938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60100623</w:t>
            </w:r>
            <w:r>
              <w:rPr>
                <w:rFonts w:hint="eastAsia" w:eastAsia="等线"/>
                <w:color w:val="000000"/>
                <w:kern w:val="0"/>
                <w:sz w:val="22"/>
                <w:szCs w:val="22"/>
                <w:lang w:val="en-US" w:eastAsia="zh-CN"/>
              </w:rPr>
              <w:t>5</w:t>
            </w:r>
            <w:r>
              <w:rPr>
                <w:rFonts w:eastAsia="等线"/>
                <w:color w:val="000000"/>
                <w:kern w:val="0"/>
                <w:sz w:val="22"/>
                <w:szCs w:val="22"/>
              </w:rPr>
              <w:t>01</w:t>
            </w:r>
          </w:p>
        </w:tc>
        <w:tc>
          <w:tcPr>
            <w:tcW w:w="1100" w:type="pct"/>
            <w:shd w:val="clear" w:color="auto" w:fill="auto"/>
            <w:vAlign w:val="center"/>
          </w:tcPr>
          <w:p w14:paraId="13E711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博士实践环节</w:t>
            </w:r>
          </w:p>
        </w:tc>
        <w:tc>
          <w:tcPr>
            <w:tcW w:w="388" w:type="pct"/>
            <w:shd w:val="clear" w:color="auto" w:fill="auto"/>
            <w:vAlign w:val="center"/>
          </w:tcPr>
          <w:p w14:paraId="5A6C06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337" w:type="pct"/>
            <w:shd w:val="clear" w:color="auto" w:fill="auto"/>
            <w:vAlign w:val="center"/>
          </w:tcPr>
          <w:p w14:paraId="0F68B1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p>
        </w:tc>
        <w:tc>
          <w:tcPr>
            <w:tcW w:w="213" w:type="pct"/>
            <w:shd w:val="clear" w:color="auto" w:fill="auto"/>
            <w:vAlign w:val="center"/>
          </w:tcPr>
          <w:p w14:paraId="2EFE4FF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w:t>
            </w:r>
          </w:p>
        </w:tc>
        <w:tc>
          <w:tcPr>
            <w:tcW w:w="351" w:type="pct"/>
            <w:shd w:val="clear" w:color="auto" w:fill="auto"/>
            <w:vAlign w:val="center"/>
          </w:tcPr>
          <w:p w14:paraId="5E7BCF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w:t>
            </w:r>
          </w:p>
        </w:tc>
        <w:tc>
          <w:tcPr>
            <w:tcW w:w="676" w:type="pct"/>
            <w:shd w:val="clear" w:color="auto" w:fill="auto"/>
            <w:vAlign w:val="center"/>
          </w:tcPr>
          <w:p w14:paraId="0A23CC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shd w:val="clear" w:color="auto" w:fill="auto"/>
            <w:vAlign w:val="center"/>
          </w:tcPr>
          <w:p w14:paraId="77DBCAF1">
            <w:pPr>
              <w:widowControl/>
              <w:jc w:val="center"/>
              <w:rPr>
                <w:rFonts w:eastAsia="等线"/>
                <w:color w:val="000000"/>
                <w:kern w:val="0"/>
                <w:sz w:val="22"/>
                <w:szCs w:val="22"/>
              </w:rPr>
            </w:pPr>
          </w:p>
        </w:tc>
      </w:tr>
      <w:tr w14:paraId="6CC4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95" w:type="pct"/>
            <w:gridSpan w:val="2"/>
            <w:vMerge w:val="continue"/>
            <w:vAlign w:val="center"/>
          </w:tcPr>
          <w:p w14:paraId="06F002F9">
            <w:pPr>
              <w:widowControl/>
              <w:jc w:val="center"/>
              <w:rPr>
                <w:rFonts w:ascii="宋体" w:hAnsi="宋体" w:cs="宋体"/>
                <w:color w:val="000000"/>
                <w:kern w:val="0"/>
                <w:sz w:val="22"/>
                <w:szCs w:val="22"/>
              </w:rPr>
            </w:pPr>
          </w:p>
        </w:tc>
        <w:tc>
          <w:tcPr>
            <w:tcW w:w="843" w:type="pct"/>
            <w:shd w:val="clear" w:color="auto" w:fill="auto"/>
            <w:vAlign w:val="center"/>
          </w:tcPr>
          <w:p w14:paraId="516E05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60100623</w:t>
            </w:r>
            <w:r>
              <w:rPr>
                <w:rFonts w:hint="eastAsia" w:eastAsia="等线"/>
                <w:color w:val="000000"/>
                <w:kern w:val="0"/>
                <w:sz w:val="22"/>
                <w:szCs w:val="22"/>
                <w:lang w:val="en-US" w:eastAsia="zh-CN"/>
              </w:rPr>
              <w:t>5</w:t>
            </w:r>
            <w:r>
              <w:rPr>
                <w:rFonts w:eastAsia="等线"/>
                <w:color w:val="000000"/>
                <w:kern w:val="0"/>
                <w:sz w:val="22"/>
                <w:szCs w:val="22"/>
              </w:rPr>
              <w:t>02</w:t>
            </w:r>
          </w:p>
        </w:tc>
        <w:tc>
          <w:tcPr>
            <w:tcW w:w="1100" w:type="pct"/>
            <w:shd w:val="clear" w:color="auto" w:fill="auto"/>
            <w:vAlign w:val="center"/>
          </w:tcPr>
          <w:p w14:paraId="10698F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博士学术活动</w:t>
            </w:r>
          </w:p>
        </w:tc>
        <w:tc>
          <w:tcPr>
            <w:tcW w:w="388" w:type="pct"/>
            <w:shd w:val="clear" w:color="auto" w:fill="auto"/>
            <w:vAlign w:val="center"/>
          </w:tcPr>
          <w:p w14:paraId="11AC9D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p>
        </w:tc>
        <w:tc>
          <w:tcPr>
            <w:tcW w:w="337" w:type="pct"/>
            <w:shd w:val="clear" w:color="auto" w:fill="auto"/>
            <w:vAlign w:val="center"/>
          </w:tcPr>
          <w:p w14:paraId="5BF430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188737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351" w:type="pct"/>
            <w:shd w:val="clear" w:color="auto" w:fill="auto"/>
            <w:vAlign w:val="center"/>
          </w:tcPr>
          <w:p w14:paraId="762262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w:t>
            </w:r>
          </w:p>
        </w:tc>
        <w:tc>
          <w:tcPr>
            <w:tcW w:w="676" w:type="pct"/>
            <w:shd w:val="clear" w:color="auto" w:fill="auto"/>
            <w:vAlign w:val="center"/>
          </w:tcPr>
          <w:p w14:paraId="675A3C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shd w:val="clear" w:color="auto" w:fill="auto"/>
            <w:vAlign w:val="center"/>
          </w:tcPr>
          <w:p w14:paraId="72192B34">
            <w:pPr>
              <w:widowControl/>
              <w:jc w:val="center"/>
              <w:rPr>
                <w:rFonts w:hint="default" w:eastAsia="等线"/>
                <w:color w:val="000000"/>
                <w:kern w:val="0"/>
                <w:sz w:val="22"/>
                <w:szCs w:val="22"/>
                <w:lang w:val="en-US" w:eastAsia="zh-CN"/>
              </w:rPr>
            </w:pPr>
            <w:r>
              <w:rPr>
                <w:rFonts w:hint="default" w:ascii="Arial" w:hAnsi="Arial" w:eastAsia="等线" w:cs="Arial"/>
                <w:color w:val="000000"/>
                <w:kern w:val="0"/>
                <w:sz w:val="22"/>
                <w:szCs w:val="22"/>
              </w:rPr>
              <w:t>≥</w:t>
            </w:r>
            <w:r>
              <w:rPr>
                <w:rFonts w:hint="eastAsia" w:eastAsia="等线"/>
                <w:color w:val="000000"/>
                <w:kern w:val="0"/>
                <w:sz w:val="22"/>
                <w:szCs w:val="22"/>
                <w:lang w:val="en-US" w:eastAsia="zh-CN"/>
              </w:rPr>
              <w:t>10次</w:t>
            </w:r>
          </w:p>
        </w:tc>
      </w:tr>
      <w:tr w14:paraId="2CDB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5" w:type="pct"/>
            <w:gridSpan w:val="2"/>
            <w:vMerge w:val="continue"/>
            <w:vAlign w:val="center"/>
          </w:tcPr>
          <w:p w14:paraId="4A6DB615">
            <w:pPr>
              <w:widowControl/>
              <w:jc w:val="center"/>
              <w:rPr>
                <w:rFonts w:ascii="宋体" w:hAnsi="宋体" w:cs="宋体"/>
                <w:color w:val="000000"/>
                <w:kern w:val="0"/>
                <w:sz w:val="22"/>
                <w:szCs w:val="22"/>
              </w:rPr>
            </w:pPr>
          </w:p>
        </w:tc>
        <w:tc>
          <w:tcPr>
            <w:tcW w:w="843" w:type="pct"/>
            <w:shd w:val="clear" w:color="auto" w:fill="auto"/>
            <w:vAlign w:val="center"/>
          </w:tcPr>
          <w:p w14:paraId="1FA7F2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60100623</w:t>
            </w:r>
            <w:r>
              <w:rPr>
                <w:rFonts w:hint="eastAsia" w:eastAsia="等线"/>
                <w:color w:val="000000"/>
                <w:kern w:val="0"/>
                <w:sz w:val="22"/>
                <w:szCs w:val="22"/>
                <w:lang w:val="en-US" w:eastAsia="zh-CN"/>
              </w:rPr>
              <w:t>5</w:t>
            </w:r>
            <w:r>
              <w:rPr>
                <w:rFonts w:eastAsia="等线"/>
                <w:color w:val="000000"/>
                <w:kern w:val="0"/>
                <w:sz w:val="22"/>
                <w:szCs w:val="22"/>
              </w:rPr>
              <w:t>03</w:t>
            </w:r>
          </w:p>
        </w:tc>
        <w:tc>
          <w:tcPr>
            <w:tcW w:w="1100" w:type="pct"/>
            <w:shd w:val="clear" w:color="auto" w:fill="auto"/>
            <w:vAlign w:val="center"/>
          </w:tcPr>
          <w:p w14:paraId="62EE92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博士选题报告</w:t>
            </w:r>
          </w:p>
        </w:tc>
        <w:tc>
          <w:tcPr>
            <w:tcW w:w="388" w:type="pct"/>
            <w:shd w:val="clear" w:color="auto" w:fill="auto"/>
            <w:vAlign w:val="center"/>
          </w:tcPr>
          <w:p w14:paraId="1A703F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p>
        </w:tc>
        <w:tc>
          <w:tcPr>
            <w:tcW w:w="337" w:type="pct"/>
            <w:shd w:val="clear" w:color="auto" w:fill="auto"/>
            <w:vAlign w:val="center"/>
          </w:tcPr>
          <w:p w14:paraId="3FA2DE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51B6E3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351" w:type="pct"/>
            <w:shd w:val="clear" w:color="auto" w:fill="auto"/>
            <w:vAlign w:val="center"/>
          </w:tcPr>
          <w:p w14:paraId="030AB9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w:t>
            </w:r>
          </w:p>
        </w:tc>
        <w:tc>
          <w:tcPr>
            <w:tcW w:w="676" w:type="pct"/>
            <w:shd w:val="clear" w:color="auto" w:fill="auto"/>
            <w:vAlign w:val="center"/>
          </w:tcPr>
          <w:p w14:paraId="474D4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shd w:val="clear" w:color="auto" w:fill="auto"/>
            <w:vAlign w:val="center"/>
          </w:tcPr>
          <w:p w14:paraId="13FA4D2C">
            <w:pPr>
              <w:widowControl/>
              <w:jc w:val="center"/>
              <w:rPr>
                <w:rFonts w:eastAsia="等线"/>
                <w:color w:val="000000"/>
                <w:kern w:val="0"/>
                <w:sz w:val="22"/>
                <w:szCs w:val="22"/>
              </w:rPr>
            </w:pPr>
          </w:p>
        </w:tc>
      </w:tr>
    </w:tbl>
    <w:p w14:paraId="3A1D6680">
      <w:pPr>
        <w:adjustRightInd w:val="0"/>
        <w:snapToGrid w:val="0"/>
        <w:spacing w:line="400" w:lineRule="exact"/>
        <w:ind w:firstLine="480" w:firstLineChars="200"/>
        <w:rPr>
          <w:sz w:val="24"/>
        </w:rPr>
      </w:pPr>
    </w:p>
    <w:p w14:paraId="143250D0">
      <w:pPr>
        <w:rPr>
          <w:b/>
          <w:sz w:val="24"/>
        </w:rPr>
      </w:pPr>
      <w:bookmarkStart w:id="5" w:name="_Toc19061"/>
      <w:r>
        <w:rPr>
          <w:b/>
          <w:sz w:val="24"/>
        </w:rPr>
        <w:br w:type="page"/>
      </w:r>
    </w:p>
    <w:p w14:paraId="5DA44FFD">
      <w:pPr>
        <w:keepNext/>
        <w:spacing w:before="156" w:beforeLines="50" w:after="156" w:afterLines="50"/>
        <w:outlineLvl w:val="2"/>
        <w:rPr>
          <w:b/>
          <w:sz w:val="24"/>
        </w:rPr>
      </w:pPr>
      <w:r>
        <w:rPr>
          <w:b/>
          <w:sz w:val="24"/>
        </w:rPr>
        <w:t>五、必修环节</w:t>
      </w:r>
      <w:bookmarkEnd w:id="5"/>
    </w:p>
    <w:p w14:paraId="2CA0ED33">
      <w:pPr>
        <w:autoSpaceDE w:val="0"/>
        <w:autoSpaceDN w:val="0"/>
        <w:adjustRightInd w:val="0"/>
        <w:spacing w:line="400" w:lineRule="exact"/>
        <w:ind w:firstLine="480" w:firstLineChars="200"/>
        <w:rPr>
          <w:kern w:val="0"/>
          <w:sz w:val="24"/>
        </w:rPr>
      </w:pPr>
      <w:r>
        <w:rPr>
          <w:rFonts w:hint="eastAsia"/>
          <w:kern w:val="0"/>
          <w:sz w:val="24"/>
        </w:rPr>
        <w:t xml:space="preserve">（一）实践环节 </w:t>
      </w:r>
    </w:p>
    <w:p w14:paraId="0670120D">
      <w:pPr>
        <w:autoSpaceDE w:val="0"/>
        <w:autoSpaceDN w:val="0"/>
        <w:adjustRightInd w:val="0"/>
        <w:spacing w:line="400" w:lineRule="exact"/>
        <w:ind w:firstLine="480" w:firstLineChars="200"/>
        <w:rPr>
          <w:kern w:val="0"/>
          <w:sz w:val="24"/>
        </w:rPr>
      </w:pPr>
      <w:r>
        <w:rPr>
          <w:rFonts w:hint="eastAsia"/>
          <w:kern w:val="0"/>
          <w:sz w:val="24"/>
        </w:rPr>
        <w:t>1．社会实践</w:t>
      </w:r>
    </w:p>
    <w:p w14:paraId="19C1E40B">
      <w:pPr>
        <w:autoSpaceDE w:val="0"/>
        <w:autoSpaceDN w:val="0"/>
        <w:adjustRightInd w:val="0"/>
        <w:spacing w:line="400" w:lineRule="exact"/>
        <w:ind w:firstLine="480" w:firstLineChars="200"/>
        <w:rPr>
          <w:kern w:val="0"/>
          <w:sz w:val="24"/>
        </w:rPr>
      </w:pPr>
      <w:r>
        <w:rPr>
          <w:rFonts w:hint="eastAsia"/>
          <w:kern w:val="0"/>
          <w:sz w:val="24"/>
        </w:rPr>
        <w:t>学术学位博士研究生可以通过组织和参与社会调查、支教、扶贫及其他志愿者服务等方式进行实践活动，提倡以小组或团队形式开展，累计不少于15个工作日。</w:t>
      </w:r>
    </w:p>
    <w:p w14:paraId="4CD994BB">
      <w:pPr>
        <w:autoSpaceDE w:val="0"/>
        <w:autoSpaceDN w:val="0"/>
        <w:adjustRightInd w:val="0"/>
        <w:spacing w:line="400" w:lineRule="exact"/>
        <w:ind w:firstLine="480" w:firstLineChars="200"/>
        <w:rPr>
          <w:kern w:val="0"/>
          <w:sz w:val="24"/>
        </w:rPr>
      </w:pPr>
      <w:r>
        <w:rPr>
          <w:rFonts w:hint="eastAsia"/>
          <w:kern w:val="0"/>
          <w:sz w:val="24"/>
        </w:rPr>
        <w:t>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w:t>
      </w:r>
    </w:p>
    <w:p w14:paraId="5B73FB2B">
      <w:pPr>
        <w:autoSpaceDE w:val="0"/>
        <w:autoSpaceDN w:val="0"/>
        <w:adjustRightInd w:val="0"/>
        <w:spacing w:line="400" w:lineRule="exact"/>
        <w:ind w:firstLine="480" w:firstLineChars="200"/>
        <w:rPr>
          <w:kern w:val="0"/>
          <w:sz w:val="24"/>
        </w:rPr>
      </w:pPr>
      <w:r>
        <w:rPr>
          <w:rFonts w:hint="eastAsia"/>
          <w:kern w:val="0"/>
          <w:sz w:val="24"/>
        </w:rPr>
        <w:t>2．助研、助教</w:t>
      </w:r>
    </w:p>
    <w:p w14:paraId="79384FCB">
      <w:pPr>
        <w:autoSpaceDE w:val="0"/>
        <w:autoSpaceDN w:val="0"/>
        <w:adjustRightInd w:val="0"/>
        <w:spacing w:line="400" w:lineRule="exact"/>
        <w:ind w:firstLine="480" w:firstLineChars="200"/>
        <w:rPr>
          <w:kern w:val="0"/>
          <w:sz w:val="24"/>
        </w:rPr>
      </w:pPr>
      <w:r>
        <w:rPr>
          <w:rFonts w:hint="eastAsia"/>
          <w:kern w:val="0"/>
          <w:sz w:val="24"/>
        </w:rPr>
        <w:t>学术学位博士研究生担任助教或助研工作，其目的是培养学术学位博士研究生的综合能力，是学术学位博士研究生培养过程的有机组成部分。完成至少一个标准岗位的助教或助研工作通过后记1学分。</w:t>
      </w:r>
    </w:p>
    <w:p w14:paraId="7B726CF4">
      <w:pPr>
        <w:autoSpaceDE w:val="0"/>
        <w:autoSpaceDN w:val="0"/>
        <w:adjustRightInd w:val="0"/>
        <w:spacing w:line="400" w:lineRule="exact"/>
        <w:ind w:firstLine="480" w:firstLineChars="200"/>
        <w:rPr>
          <w:kern w:val="0"/>
          <w:sz w:val="24"/>
        </w:rPr>
      </w:pPr>
      <w:r>
        <w:rPr>
          <w:rFonts w:hint="eastAsia"/>
          <w:kern w:val="0"/>
          <w:sz w:val="24"/>
        </w:rPr>
        <w:t>学术学位博士研究生担任助研、助教的相关要求和考核办法等参照学校研究生“三助”工作有关规定执行。</w:t>
      </w:r>
    </w:p>
    <w:p w14:paraId="36D952A2">
      <w:pPr>
        <w:autoSpaceDE w:val="0"/>
        <w:autoSpaceDN w:val="0"/>
        <w:adjustRightInd w:val="0"/>
        <w:spacing w:line="400" w:lineRule="exact"/>
        <w:ind w:firstLine="480" w:firstLineChars="200"/>
        <w:rPr>
          <w:kern w:val="0"/>
          <w:sz w:val="24"/>
        </w:rPr>
      </w:pPr>
      <w:r>
        <w:rPr>
          <w:rFonts w:hint="eastAsia"/>
          <w:kern w:val="0"/>
          <w:sz w:val="24"/>
        </w:rPr>
        <w:t>3．基金申请书撰写</w:t>
      </w:r>
    </w:p>
    <w:p w14:paraId="24BF2273">
      <w:pPr>
        <w:autoSpaceDE w:val="0"/>
        <w:autoSpaceDN w:val="0"/>
        <w:adjustRightInd w:val="0"/>
        <w:spacing w:line="400" w:lineRule="exact"/>
        <w:ind w:firstLine="480" w:firstLineChars="200"/>
        <w:rPr>
          <w:kern w:val="0"/>
          <w:sz w:val="24"/>
        </w:rPr>
      </w:pPr>
      <w:r>
        <w:rPr>
          <w:rFonts w:hint="eastAsia"/>
          <w:kern w:val="0"/>
          <w:sz w:val="24"/>
        </w:rPr>
        <w:t>学术学位博士研究生在导师指导下完成一篇国家科研基金的申请书及30分钟汇报PPT，经指导教师（小组）检查、评阅后，合格者记1学分。</w:t>
      </w:r>
    </w:p>
    <w:p w14:paraId="76AFF7F6">
      <w:pPr>
        <w:autoSpaceDE w:val="0"/>
        <w:autoSpaceDN w:val="0"/>
        <w:adjustRightInd w:val="0"/>
        <w:spacing w:line="400" w:lineRule="exact"/>
        <w:ind w:firstLine="480" w:firstLineChars="200"/>
        <w:rPr>
          <w:kern w:val="0"/>
          <w:sz w:val="24"/>
        </w:rPr>
      </w:pPr>
      <w:r>
        <w:rPr>
          <w:rFonts w:hint="eastAsia"/>
          <w:kern w:val="0"/>
          <w:sz w:val="24"/>
        </w:rPr>
        <w:t>4．国际交流</w:t>
      </w:r>
    </w:p>
    <w:p w14:paraId="5EF11BBC">
      <w:pPr>
        <w:autoSpaceDE w:val="0"/>
        <w:autoSpaceDN w:val="0"/>
        <w:adjustRightInd w:val="0"/>
        <w:spacing w:line="400" w:lineRule="exact"/>
        <w:ind w:firstLine="480" w:firstLineChars="200"/>
        <w:rPr>
          <w:kern w:val="0"/>
          <w:sz w:val="24"/>
        </w:rPr>
      </w:pPr>
      <w:r>
        <w:rPr>
          <w:rFonts w:hint="eastAsia"/>
          <w:kern w:val="0"/>
          <w:sz w:val="24"/>
        </w:rPr>
        <w:t>学术学位博士研究生在读期间，通过各类项目赴境外高校、科研机构学习、交流合作（不少于3个月），或参加一次境外国际学术会议并做口头报告。学院审核通过后记1学分。</w:t>
      </w:r>
    </w:p>
    <w:p w14:paraId="3F9A5332">
      <w:pPr>
        <w:autoSpaceDE w:val="0"/>
        <w:autoSpaceDN w:val="0"/>
        <w:adjustRightInd w:val="0"/>
        <w:spacing w:line="400" w:lineRule="exact"/>
        <w:ind w:firstLine="480" w:firstLineChars="200"/>
        <w:rPr>
          <w:color w:val="FF0000"/>
          <w:kern w:val="0"/>
          <w:sz w:val="24"/>
        </w:rPr>
      </w:pPr>
      <w:r>
        <w:rPr>
          <w:rFonts w:hint="eastAsia"/>
          <w:kern w:val="0"/>
          <w:sz w:val="24"/>
        </w:rPr>
        <w:t>5．实验室安全培训（必选）</w:t>
      </w:r>
    </w:p>
    <w:p w14:paraId="56672872">
      <w:pPr>
        <w:autoSpaceDE w:val="0"/>
        <w:autoSpaceDN w:val="0"/>
        <w:adjustRightInd w:val="0"/>
        <w:spacing w:line="400" w:lineRule="exact"/>
        <w:ind w:firstLine="480" w:firstLineChars="200"/>
        <w:rPr>
          <w:kern w:val="0"/>
          <w:sz w:val="24"/>
        </w:rPr>
      </w:pPr>
      <w:r>
        <w:rPr>
          <w:rFonts w:hint="eastAsia"/>
          <w:kern w:val="0"/>
          <w:sz w:val="24"/>
        </w:rPr>
        <w:t>研究生进入课题之前必须完成实验室安全培训。考核通过后记1学分。</w:t>
      </w:r>
    </w:p>
    <w:p w14:paraId="03B5FC2C">
      <w:pPr>
        <w:autoSpaceDE w:val="0"/>
        <w:autoSpaceDN w:val="0"/>
        <w:adjustRightInd w:val="0"/>
        <w:spacing w:line="400" w:lineRule="exact"/>
        <w:ind w:firstLine="480" w:firstLineChars="200"/>
        <w:rPr>
          <w:kern w:val="0"/>
          <w:sz w:val="24"/>
        </w:rPr>
      </w:pPr>
      <w:r>
        <w:rPr>
          <w:rFonts w:hint="eastAsia"/>
          <w:kern w:val="0"/>
          <w:sz w:val="24"/>
        </w:rPr>
        <w:t>※定向培养研究生、来华留学生可免修实践环节，但不记学分，所缺学分必须通过选修课程补齐。</w:t>
      </w:r>
    </w:p>
    <w:p w14:paraId="13EDFA13">
      <w:pPr>
        <w:autoSpaceDE w:val="0"/>
        <w:autoSpaceDN w:val="0"/>
        <w:adjustRightInd w:val="0"/>
        <w:spacing w:line="400" w:lineRule="exact"/>
        <w:ind w:firstLine="480" w:firstLineChars="200"/>
        <w:rPr>
          <w:kern w:val="0"/>
          <w:sz w:val="24"/>
        </w:rPr>
      </w:pPr>
      <w:r>
        <w:rPr>
          <w:rFonts w:hint="eastAsia"/>
          <w:kern w:val="0"/>
          <w:sz w:val="24"/>
        </w:rPr>
        <w:t>（二）学术活动</w:t>
      </w:r>
    </w:p>
    <w:p w14:paraId="2388E61F">
      <w:pPr>
        <w:adjustRightInd w:val="0"/>
        <w:snapToGrid w:val="0"/>
        <w:spacing w:line="420" w:lineRule="exact"/>
        <w:ind w:firstLine="480" w:firstLineChars="200"/>
        <w:rPr>
          <w:sz w:val="24"/>
        </w:rPr>
      </w:pPr>
      <w:r>
        <w:rPr>
          <w:rFonts w:hint="eastAsia"/>
          <w:sz w:val="24"/>
        </w:rPr>
        <w:t>为了促使学术学位博士研究生能主动关心和了解国内外本学科前沿的发展动态，开阔视野，启发创造力，要求每个学术学位博士研究生应公开做学术报告至少2次，参加学术报告至少10次</w:t>
      </w:r>
      <w:r>
        <w:rPr>
          <w:rFonts w:ascii="宋体" w:hAnsi="宋体" w:eastAsia="宋体" w:cs="宋体"/>
          <w:sz w:val="24"/>
          <w:szCs w:val="24"/>
        </w:rPr>
        <w:t>（其中至少1次在学校未来学习中心完成）</w:t>
      </w:r>
      <w:r>
        <w:rPr>
          <w:rFonts w:hint="eastAsia"/>
          <w:sz w:val="24"/>
        </w:rPr>
        <w:t>，且每次参加学术活动必须写出500字以上的心得。经指导教师（小组）检查、审核，完成者在必修环节记1个学分。</w:t>
      </w:r>
    </w:p>
    <w:p w14:paraId="7C4A6E64">
      <w:pPr>
        <w:autoSpaceDE w:val="0"/>
        <w:autoSpaceDN w:val="0"/>
        <w:adjustRightInd w:val="0"/>
        <w:spacing w:line="40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（三）选题报告</w:t>
      </w:r>
    </w:p>
    <w:p w14:paraId="0E41DCB6">
      <w:pPr>
        <w:autoSpaceDE w:val="0"/>
        <w:autoSpaceDN w:val="0"/>
        <w:adjustRightInd w:val="0"/>
        <w:spacing w:line="40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学位论文选题报告不仅要提出研究的问题，还要提出问题的依据以及解决这些问题的思路与实施途径，博士生入学后，应在导师指导下明确科学研究方向，查阅国内外相关文献，经过广泛的调查研究后，提出学位论文选题报告，经审核后确定研究课题。</w:t>
      </w:r>
    </w:p>
    <w:p w14:paraId="024CB81D">
      <w:pPr>
        <w:autoSpaceDE w:val="0"/>
        <w:autoSpaceDN w:val="0"/>
        <w:adjustRightInd w:val="0"/>
        <w:spacing w:line="400" w:lineRule="exact"/>
        <w:ind w:firstLine="480" w:firstLineChars="200"/>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学术学位博士</w:t>
      </w:r>
      <w:bookmarkStart w:id="6" w:name="_Toc16361"/>
      <w:r>
        <w:rPr>
          <w:color w:val="000000" w:themeColor="text1"/>
          <w:sz w:val="24"/>
          <w14:textFill>
            <w14:solidFill>
              <w14:schemeClr w14:val="tx1"/>
            </w14:solidFill>
          </w14:textFill>
        </w:rPr>
        <w:t>研究生选题报告的具体要求，按照学校研究生开题管理有关规定要求执行。选题报告通过后记1个必修环节学分。</w:t>
      </w:r>
    </w:p>
    <w:p w14:paraId="20BC8046">
      <w:pPr>
        <w:keepNext/>
        <w:spacing w:before="156" w:beforeLines="50" w:after="156" w:afterLines="50"/>
        <w:outlineLvl w:val="2"/>
        <w:rPr>
          <w:b/>
          <w:sz w:val="24"/>
        </w:rPr>
      </w:pPr>
      <w:r>
        <w:rPr>
          <w:b/>
          <w:sz w:val="24"/>
        </w:rPr>
        <w:t>六、科学研究与学位论文</w:t>
      </w:r>
      <w:bookmarkEnd w:id="6"/>
    </w:p>
    <w:p w14:paraId="67D24070">
      <w:pPr>
        <w:autoSpaceDE w:val="0"/>
        <w:autoSpaceDN w:val="0"/>
        <w:adjustRightInd w:val="0"/>
        <w:spacing w:line="400" w:lineRule="exact"/>
        <w:ind w:firstLine="480" w:firstLineChars="200"/>
        <w:rPr>
          <w:kern w:val="0"/>
          <w:sz w:val="24"/>
        </w:rPr>
      </w:pPr>
      <w:r>
        <w:rPr>
          <w:kern w:val="0"/>
          <w:sz w:val="24"/>
        </w:rPr>
        <w:t>（一）科学研究</w:t>
      </w:r>
    </w:p>
    <w:p w14:paraId="22A4B703">
      <w:pPr>
        <w:autoSpaceDE w:val="0"/>
        <w:autoSpaceDN w:val="0"/>
        <w:adjustRightInd w:val="0"/>
        <w:spacing w:line="400" w:lineRule="exact"/>
        <w:ind w:firstLine="480" w:firstLineChars="200"/>
        <w:rPr>
          <w:kern w:val="0"/>
          <w:sz w:val="24"/>
        </w:rPr>
      </w:pPr>
      <w:r>
        <w:rPr>
          <w:rFonts w:hint="eastAsia"/>
          <w:kern w:val="0"/>
          <w:sz w:val="24"/>
        </w:rPr>
        <w:t>博士研究阶段的科学研究应从本学科的发展出发，尽量结合导师或课题组所承担的重要科研任务，着重选择在国际上属于学科前沿的课题或对国家经济建设和社会发展具有重要意义的课题，要突出研究方向在科学和专门技术上的创新性和先进性，做到有所发现或提出新见解，核心在于知识创新和通过科学研究取得创造性研究成果。</w:t>
      </w:r>
    </w:p>
    <w:p w14:paraId="5FB8DA52">
      <w:pPr>
        <w:autoSpaceDE w:val="0"/>
        <w:autoSpaceDN w:val="0"/>
        <w:adjustRightInd w:val="0"/>
        <w:spacing w:line="400" w:lineRule="exact"/>
        <w:ind w:firstLine="480" w:firstLineChars="200"/>
        <w:rPr>
          <w:kern w:val="0"/>
          <w:sz w:val="24"/>
        </w:rPr>
      </w:pPr>
      <w:r>
        <w:rPr>
          <w:kern w:val="0"/>
          <w:sz w:val="24"/>
        </w:rPr>
        <w:t>（二）学位论文</w:t>
      </w:r>
    </w:p>
    <w:p w14:paraId="78D1010C">
      <w:pPr>
        <w:adjustRightInd w:val="0"/>
        <w:snapToGrid w:val="0"/>
        <w:spacing w:line="400" w:lineRule="exact"/>
        <w:ind w:firstLine="480" w:firstLineChars="200"/>
        <w:rPr>
          <w:kern w:val="0"/>
          <w:sz w:val="24"/>
        </w:rPr>
      </w:pPr>
      <w:r>
        <w:rPr>
          <w:rFonts w:hint="eastAsia"/>
          <w:kern w:val="0"/>
          <w:sz w:val="24"/>
        </w:rPr>
        <w:t>博士学位论文的撰写是矿业工程（硕士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矿业工程（硕士起点）学术学位博士研究生在校期间应把主要精力投入到与博士论文有关的科学研究和学术论文撰写。博士学位论文应在导师的指导下，由学术学位博士研究生本人独立完成。论文应有较强的系统性和创造性。</w:t>
      </w:r>
    </w:p>
    <w:p w14:paraId="0B8ACC37">
      <w:pPr>
        <w:adjustRightInd w:val="0"/>
        <w:snapToGrid w:val="0"/>
        <w:spacing w:line="400" w:lineRule="exact"/>
        <w:ind w:firstLine="480" w:firstLineChars="200"/>
        <w:rPr>
          <w:kern w:val="0"/>
          <w:sz w:val="24"/>
        </w:rPr>
      </w:pPr>
      <w:r>
        <w:rPr>
          <w:rFonts w:hint="eastAsia"/>
          <w:kern w:val="0"/>
          <w:sz w:val="24"/>
        </w:rPr>
        <w:t>矿业工程（硕士起点）学术学位博士研究生在博士学位论文送审前，须满足取得学籍当年学校申请博士学位学术成果有关规定和资环学院学位与研究生教育有关规定，方可送审。</w:t>
      </w:r>
    </w:p>
    <w:p w14:paraId="251397E5">
      <w:pPr>
        <w:adjustRightInd w:val="0"/>
        <w:snapToGrid w:val="0"/>
        <w:spacing w:line="400" w:lineRule="exact"/>
        <w:ind w:firstLine="480" w:firstLineChars="200"/>
        <w:rPr>
          <w:kern w:val="0"/>
          <w:sz w:val="24"/>
        </w:rPr>
      </w:pPr>
      <w:r>
        <w:rPr>
          <w:rFonts w:hint="eastAsia"/>
          <w:kern w:val="0"/>
          <w:sz w:val="24"/>
        </w:rPr>
        <w:t>矿业工程（硕士起点）学术学位博士研究生在博士学位论文答辩前，须达到学校研究生学位论文答辩管理办法有关要求，方可答辩。</w:t>
      </w:r>
    </w:p>
    <w:p w14:paraId="0CD1A16D">
      <w:pPr>
        <w:adjustRightInd w:val="0"/>
        <w:snapToGrid w:val="0"/>
        <w:spacing w:line="400" w:lineRule="exact"/>
        <w:ind w:firstLine="480" w:firstLineChars="200"/>
        <w:rPr>
          <w:kern w:val="0"/>
          <w:sz w:val="24"/>
        </w:rPr>
      </w:pPr>
      <w:r>
        <w:rPr>
          <w:rFonts w:hint="eastAsia"/>
          <w:kern w:val="0"/>
          <w:sz w:val="24"/>
        </w:rPr>
        <w:t>※ 未尽事宜以研究生取得学籍当年武汉理工大学《研究生手册》和资环学院学位与研究生教育有关规定为准。</w:t>
      </w:r>
    </w:p>
    <w:p w14:paraId="0C1BFF82">
      <w:pPr>
        <w:keepNext/>
        <w:spacing w:before="156" w:beforeLines="50" w:after="156" w:afterLines="50"/>
        <w:outlineLvl w:val="2"/>
        <w:rPr>
          <w:b/>
          <w:sz w:val="24"/>
        </w:rPr>
      </w:pPr>
      <w:bookmarkStart w:id="7" w:name="_Toc12510"/>
      <w:r>
        <w:rPr>
          <w:b/>
          <w:sz w:val="24"/>
        </w:rPr>
        <w:t>七、培养方式与方法</w:t>
      </w:r>
      <w:bookmarkEnd w:id="7"/>
    </w:p>
    <w:p w14:paraId="3A873959">
      <w:pPr>
        <w:autoSpaceDE w:val="0"/>
        <w:autoSpaceDN w:val="0"/>
        <w:adjustRightInd w:val="0"/>
        <w:spacing w:line="400" w:lineRule="exact"/>
        <w:ind w:firstLine="480" w:firstLineChars="200"/>
        <w:rPr>
          <w:kern w:val="0"/>
          <w:sz w:val="24"/>
        </w:rPr>
      </w:pPr>
      <w:r>
        <w:rPr>
          <w:rFonts w:hint="eastAsia"/>
          <w:kern w:val="0"/>
          <w:sz w:val="24"/>
        </w:rPr>
        <w:t>矿业工程学术学位博士研究生的培养采取导师负责制或以导师为主的指导小组的指导方法，培养方式应灵活多样，更多地采取启发式、研讨式的教学方式，充分发挥指导教师的主导作用。将从政治思想和业务学习两方面引导博士研究生的全面发展。具体方式为：</w:t>
      </w:r>
    </w:p>
    <w:p w14:paraId="376B9C9D">
      <w:pPr>
        <w:autoSpaceDE w:val="0"/>
        <w:autoSpaceDN w:val="0"/>
        <w:adjustRightInd w:val="0"/>
        <w:spacing w:line="400" w:lineRule="exact"/>
        <w:ind w:firstLine="480" w:firstLineChars="200"/>
        <w:rPr>
          <w:kern w:val="0"/>
          <w:sz w:val="24"/>
        </w:rPr>
      </w:pPr>
      <w:r>
        <w:rPr>
          <w:rFonts w:hint="eastAsia"/>
          <w:kern w:val="0"/>
          <w:sz w:val="24"/>
        </w:rPr>
        <w:t>（一）坚持政治理论学习与经常性的政治、纪律和思想教育相结合。在认真学好政治理论课的同时，要求博士研究生积极参加政治学习、公益劳动等集体活动。</w:t>
      </w:r>
    </w:p>
    <w:p w14:paraId="524EEC7A">
      <w:pPr>
        <w:autoSpaceDE w:val="0"/>
        <w:autoSpaceDN w:val="0"/>
        <w:adjustRightInd w:val="0"/>
        <w:spacing w:line="400" w:lineRule="exact"/>
        <w:ind w:firstLine="480" w:firstLineChars="200"/>
        <w:rPr>
          <w:kern w:val="0"/>
          <w:sz w:val="24"/>
        </w:rPr>
      </w:pPr>
      <w:r>
        <w:rPr>
          <w:rFonts w:hint="eastAsia"/>
          <w:kern w:val="0"/>
          <w:sz w:val="24"/>
        </w:rPr>
        <w:t>（二）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2254156A">
      <w:pPr>
        <w:autoSpaceDE w:val="0"/>
        <w:autoSpaceDN w:val="0"/>
        <w:adjustRightInd w:val="0"/>
        <w:spacing w:line="400" w:lineRule="exact"/>
        <w:ind w:firstLine="480" w:firstLineChars="200"/>
        <w:rPr>
          <w:kern w:val="0"/>
          <w:sz w:val="24"/>
        </w:rPr>
      </w:pPr>
      <w:r>
        <w:rPr>
          <w:rFonts w:hint="eastAsia"/>
          <w:kern w:val="0"/>
          <w:sz w:val="24"/>
        </w:rPr>
        <w:t>（三）坚持课程学习和科研论文工作并重的原则。既要深入掌握本学科坚实、宽广的基础理论和系统深入的专门知识，又要培养具有独立开展科学研究或承担专门技术工作的能力。</w:t>
      </w:r>
    </w:p>
    <w:p w14:paraId="0333B143">
      <w:pPr>
        <w:autoSpaceDE w:val="0"/>
        <w:autoSpaceDN w:val="0"/>
        <w:adjustRightInd w:val="0"/>
        <w:spacing w:line="400" w:lineRule="exact"/>
        <w:ind w:firstLine="480" w:firstLineChars="200"/>
        <w:rPr>
          <w:kern w:val="0"/>
          <w:sz w:val="24"/>
        </w:rPr>
      </w:pPr>
      <w:r>
        <w:rPr>
          <w:rFonts w:hint="eastAsia"/>
          <w:kern w:val="0"/>
          <w:sz w:val="24"/>
        </w:rPr>
        <w:t>（四）博士研究生培养方式应灵活多样。加强博士研究生科研能力、自学能力、动手能力、表达能力和写作能力的训练和培养；强调在培养过程中发挥博士研究生的主动性和自觉性。</w:t>
      </w:r>
    </w:p>
    <w:p w14:paraId="35CCAA8C">
      <w:pPr>
        <w:keepNext/>
        <w:spacing w:before="156" w:beforeLines="50" w:after="156" w:afterLines="50"/>
        <w:outlineLvl w:val="2"/>
        <w:rPr>
          <w:b/>
          <w:sz w:val="24"/>
        </w:rPr>
      </w:pPr>
      <w:bookmarkStart w:id="8" w:name="_Toc22144"/>
      <w:r>
        <w:rPr>
          <w:b/>
          <w:sz w:val="24"/>
        </w:rPr>
        <w:t>八、其它</w:t>
      </w:r>
      <w:bookmarkEnd w:id="8"/>
    </w:p>
    <w:p w14:paraId="04BACB1B">
      <w:pPr>
        <w:autoSpaceDE w:val="0"/>
        <w:autoSpaceDN w:val="0"/>
        <w:adjustRightInd w:val="0"/>
        <w:spacing w:line="400" w:lineRule="exact"/>
        <w:ind w:firstLine="480" w:firstLineChars="200"/>
        <w:rPr>
          <w:kern w:val="0"/>
          <w:sz w:val="24"/>
        </w:rPr>
      </w:pPr>
      <w:r>
        <w:rPr>
          <w:rFonts w:hint="eastAsia"/>
          <w:kern w:val="0"/>
          <w:sz w:val="24"/>
        </w:rPr>
        <w:t>（一）凡以同等学历或跨学科录取的矿业工程学术学位博士研究生，均须补修本学科的硕士主干课程，不计学分，具体规定见《研究生手册》中武汉理工大学“关于研究生补修课程的规定”。</w:t>
      </w:r>
    </w:p>
    <w:p w14:paraId="7FA6D44E">
      <w:pPr>
        <w:autoSpaceDE w:val="0"/>
        <w:autoSpaceDN w:val="0"/>
        <w:adjustRightInd w:val="0"/>
        <w:spacing w:line="400" w:lineRule="exact"/>
        <w:ind w:firstLine="480" w:firstLineChars="200"/>
        <w:rPr>
          <w:kern w:val="0"/>
          <w:sz w:val="24"/>
        </w:rPr>
      </w:pPr>
      <w:r>
        <w:rPr>
          <w:kern w:val="0"/>
          <w:sz w:val="24"/>
        </w:rPr>
        <w:t>（</w:t>
      </w:r>
      <w:r>
        <w:rPr>
          <w:rFonts w:hint="eastAsia"/>
          <w:kern w:val="0"/>
          <w:sz w:val="24"/>
        </w:rPr>
        <w:t>二</w:t>
      </w:r>
      <w:r>
        <w:rPr>
          <w:kern w:val="0"/>
          <w:sz w:val="24"/>
        </w:rPr>
        <w:t>）</w:t>
      </w:r>
      <w:r>
        <w:rPr>
          <w:rFonts w:hint="eastAsia"/>
          <w:kern w:val="0"/>
          <w:sz w:val="24"/>
        </w:rPr>
        <w:t>矿业工程学术学位博士研究生开题前后均可选修课程，申请学位论文答辩前须修完全部学分要求课程。</w:t>
      </w:r>
    </w:p>
    <w:p w14:paraId="5F4B09EA">
      <w:pPr>
        <w:autoSpaceDE w:val="0"/>
        <w:autoSpaceDN w:val="0"/>
        <w:adjustRightInd w:val="0"/>
        <w:spacing w:line="400" w:lineRule="exact"/>
        <w:ind w:firstLine="480" w:firstLineChars="200"/>
        <w:rPr>
          <w:kern w:val="0"/>
          <w:sz w:val="24"/>
        </w:rPr>
      </w:pPr>
      <w:r>
        <w:rPr>
          <w:kern w:val="0"/>
          <w:sz w:val="24"/>
        </w:rPr>
        <w:t>（</w:t>
      </w:r>
      <w:r>
        <w:rPr>
          <w:rFonts w:hint="eastAsia"/>
          <w:kern w:val="0"/>
          <w:sz w:val="24"/>
        </w:rPr>
        <w:t>三</w:t>
      </w:r>
      <w:r>
        <w:rPr>
          <w:kern w:val="0"/>
          <w:sz w:val="24"/>
        </w:rPr>
        <w:t>）</w:t>
      </w:r>
      <w:r>
        <w:rPr>
          <w:rFonts w:hint="eastAsia"/>
          <w:kern w:val="0"/>
          <w:sz w:val="24"/>
        </w:rPr>
        <w:t>矿业工程学术学位博士研究生在学期间应查阅本学科国内外文献100篇以上，其中外文文献不少于三分之一。</w:t>
      </w:r>
    </w:p>
    <w:p w14:paraId="11DB59ED">
      <w:pPr>
        <w:autoSpaceDE w:val="0"/>
        <w:autoSpaceDN w:val="0"/>
        <w:adjustRightInd w:val="0"/>
        <w:spacing w:line="400" w:lineRule="exact"/>
        <w:ind w:firstLine="480" w:firstLineChars="200"/>
        <w:rPr>
          <w:kern w:val="0"/>
          <w:sz w:val="24"/>
        </w:rPr>
      </w:pPr>
      <w:r>
        <w:rPr>
          <w:rFonts w:hint="eastAsia"/>
          <w:kern w:val="0"/>
          <w:sz w:val="24"/>
        </w:rPr>
        <w:t>（四）矿业工程学术学位博士研究生在课程学习阶段每月至少1次、论文工作阶段每月至少2次向指导教师汇报自己的学习和研究工作情况，并形成制度。</w:t>
      </w:r>
    </w:p>
    <w:p w14:paraId="38EF24E2">
      <w:pPr>
        <w:autoSpaceDE w:val="0"/>
        <w:autoSpaceDN w:val="0"/>
        <w:adjustRightInd w:val="0"/>
        <w:spacing w:line="400" w:lineRule="exact"/>
        <w:ind w:firstLine="480" w:firstLineChars="200"/>
        <w:rPr>
          <w:kern w:val="0"/>
          <w:sz w:val="24"/>
        </w:rPr>
      </w:pPr>
      <w:r>
        <w:rPr>
          <w:rFonts w:hint="eastAsia"/>
          <w:kern w:val="0"/>
          <w:sz w:val="24"/>
        </w:rPr>
        <w:t>（五）全日制、非全日制博士研究生适用同一培养方案。</w:t>
      </w:r>
    </w:p>
    <w:p w14:paraId="5172E492">
      <w:pPr>
        <w:autoSpaceDE w:val="0"/>
        <w:autoSpaceDN w:val="0"/>
        <w:adjustRightInd w:val="0"/>
        <w:spacing w:line="400" w:lineRule="exact"/>
        <w:ind w:firstLine="480" w:firstLineChars="200"/>
        <w:rPr>
          <w:kern w:val="0"/>
          <w:sz w:val="24"/>
        </w:rPr>
      </w:pPr>
      <w:r>
        <w:rPr>
          <w:rFonts w:hint="eastAsia"/>
          <w:kern w:val="0"/>
          <w:sz w:val="24"/>
        </w:rPr>
        <w:t>（六）本次制订的培养方案从202</w:t>
      </w:r>
      <w:r>
        <w:rPr>
          <w:rFonts w:hint="eastAsia"/>
          <w:kern w:val="0"/>
          <w:sz w:val="24"/>
          <w:lang w:val="en-US" w:eastAsia="zh-CN"/>
        </w:rPr>
        <w:t>5</w:t>
      </w:r>
      <w:r>
        <w:rPr>
          <w:rFonts w:hint="eastAsia"/>
          <w:kern w:val="0"/>
          <w:sz w:val="24"/>
        </w:rPr>
        <w:t>级矿业工程（硕士起点）学术学位博士研究生开始执行。</w:t>
      </w:r>
    </w:p>
    <w:p w14:paraId="008CE3BE">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hMTE5NWU3OTVkZGFjMWY5ZjBhYzlhMzVhMzVlMDAifQ=="/>
  </w:docVars>
  <w:rsids>
    <w:rsidRoot w:val="00525D26"/>
    <w:rsid w:val="00002226"/>
    <w:rsid w:val="00024ABD"/>
    <w:rsid w:val="0009140E"/>
    <w:rsid w:val="000916D8"/>
    <w:rsid w:val="000B524D"/>
    <w:rsid w:val="001166B5"/>
    <w:rsid w:val="001322D4"/>
    <w:rsid w:val="001521D2"/>
    <w:rsid w:val="00186715"/>
    <w:rsid w:val="002147BE"/>
    <w:rsid w:val="0025068D"/>
    <w:rsid w:val="002670DC"/>
    <w:rsid w:val="002918E3"/>
    <w:rsid w:val="00360C79"/>
    <w:rsid w:val="00377312"/>
    <w:rsid w:val="00416C54"/>
    <w:rsid w:val="0044507F"/>
    <w:rsid w:val="004509D9"/>
    <w:rsid w:val="00462F95"/>
    <w:rsid w:val="004921C7"/>
    <w:rsid w:val="004D2900"/>
    <w:rsid w:val="004E7109"/>
    <w:rsid w:val="005138CA"/>
    <w:rsid w:val="0052052E"/>
    <w:rsid w:val="00525D26"/>
    <w:rsid w:val="00563423"/>
    <w:rsid w:val="00577E4E"/>
    <w:rsid w:val="0058700E"/>
    <w:rsid w:val="0064761F"/>
    <w:rsid w:val="0066023D"/>
    <w:rsid w:val="006C7470"/>
    <w:rsid w:val="006D6EA1"/>
    <w:rsid w:val="006F62B0"/>
    <w:rsid w:val="00711639"/>
    <w:rsid w:val="007B4D93"/>
    <w:rsid w:val="008552F7"/>
    <w:rsid w:val="008F7D7B"/>
    <w:rsid w:val="00A5633A"/>
    <w:rsid w:val="00A60855"/>
    <w:rsid w:val="00AC3413"/>
    <w:rsid w:val="00B05AB7"/>
    <w:rsid w:val="00B32D67"/>
    <w:rsid w:val="00B71007"/>
    <w:rsid w:val="00BB529C"/>
    <w:rsid w:val="00C30775"/>
    <w:rsid w:val="00C32AB9"/>
    <w:rsid w:val="00C908D2"/>
    <w:rsid w:val="00C93CD5"/>
    <w:rsid w:val="00C96FB3"/>
    <w:rsid w:val="00CD27A8"/>
    <w:rsid w:val="00D8136F"/>
    <w:rsid w:val="00DC262A"/>
    <w:rsid w:val="00F66196"/>
    <w:rsid w:val="00F75ECC"/>
    <w:rsid w:val="00FA2271"/>
    <w:rsid w:val="037D6007"/>
    <w:rsid w:val="0BDB35FC"/>
    <w:rsid w:val="1AA52C25"/>
    <w:rsid w:val="1E0E617D"/>
    <w:rsid w:val="362A5FBE"/>
    <w:rsid w:val="393F7A45"/>
    <w:rsid w:val="39D53936"/>
    <w:rsid w:val="4893491A"/>
    <w:rsid w:val="513F769A"/>
    <w:rsid w:val="5BB83774"/>
    <w:rsid w:val="620A6969"/>
    <w:rsid w:val="74CE71A0"/>
    <w:rsid w:val="7ED7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Lines="100" w:afterLines="100"/>
      <w:jc w:val="center"/>
      <w:outlineLvl w:val="0"/>
    </w:pPr>
    <w:rPr>
      <w:rFonts w:eastAsia="黑体"/>
      <w:b/>
      <w:kern w:val="44"/>
      <w:sz w:val="32"/>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qFormat/>
    <w:uiPriority w:val="0"/>
    <w:pPr>
      <w:keepNext/>
      <w:spacing w:beforeLines="50" w:afterLines="50"/>
      <w:outlineLvl w:val="2"/>
    </w:pPr>
    <w:rPr>
      <w:b/>
      <w:bCs/>
      <w:kern w:val="0"/>
      <w:sz w:val="24"/>
    </w:rPr>
  </w:style>
  <w:style w:type="paragraph" w:styleId="5">
    <w:name w:val="heading 4"/>
    <w:basedOn w:val="1"/>
    <w:next w:val="1"/>
    <w:link w:val="50"/>
    <w:qFormat/>
    <w:uiPriority w:val="9"/>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99"/>
    <w:pPr>
      <w:ind w:firstLine="420" w:firstLineChars="200"/>
    </w:pPr>
    <w:rPr>
      <w:kern w:val="0"/>
      <w:sz w:val="20"/>
    </w:rPr>
  </w:style>
  <w:style w:type="paragraph" w:styleId="8">
    <w:name w:val="Document Map"/>
    <w:basedOn w:val="1"/>
    <w:link w:val="53"/>
    <w:unhideWhenUsed/>
    <w:qFormat/>
    <w:uiPriority w:val="0"/>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1"/>
    <w:unhideWhenUsed/>
    <w:qFormat/>
    <w:uiPriority w:val="99"/>
    <w:pPr>
      <w:jc w:val="left"/>
    </w:pPr>
  </w:style>
  <w:style w:type="paragraph" w:styleId="11">
    <w:name w:val="Body Text"/>
    <w:basedOn w:val="1"/>
    <w:link w:val="54"/>
    <w:unhideWhenUsed/>
    <w:qFormat/>
    <w:uiPriority w:val="99"/>
    <w:pPr>
      <w:spacing w:after="120"/>
    </w:pPr>
    <w:rPr>
      <w:kern w:val="0"/>
      <w:sz w:val="20"/>
    </w:rPr>
  </w:style>
  <w:style w:type="paragraph" w:styleId="12">
    <w:name w:val="Body Text Indent"/>
    <w:basedOn w:val="1"/>
    <w:link w:val="55"/>
    <w:qFormat/>
    <w:uiPriority w:val="0"/>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6"/>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7"/>
    <w:qFormat/>
    <w:uiPriority w:val="99"/>
    <w:pPr>
      <w:ind w:left="100" w:leftChars="2500"/>
    </w:pPr>
    <w:rPr>
      <w:kern w:val="0"/>
      <w:sz w:val="20"/>
    </w:rPr>
  </w:style>
  <w:style w:type="paragraph" w:styleId="18">
    <w:name w:val="Body Text Indent 2"/>
    <w:basedOn w:val="1"/>
    <w:link w:val="58"/>
    <w:qFormat/>
    <w:uiPriority w:val="0"/>
    <w:pPr>
      <w:spacing w:line="360" w:lineRule="auto"/>
      <w:ind w:firstLine="482"/>
    </w:pPr>
    <w:rPr>
      <w:kern w:val="0"/>
      <w:sz w:val="24"/>
      <w:szCs w:val="20"/>
    </w:rPr>
  </w:style>
  <w:style w:type="paragraph" w:styleId="19">
    <w:name w:val="Balloon Text"/>
    <w:basedOn w:val="1"/>
    <w:link w:val="59"/>
    <w:qFormat/>
    <w:uiPriority w:val="99"/>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0"/>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1"/>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2"/>
    <w:qFormat/>
    <w:uiPriority w:val="0"/>
    <w:pPr>
      <w:spacing w:after="120" w:line="480" w:lineRule="auto"/>
    </w:pPr>
    <w:rPr>
      <w:kern w:val="0"/>
      <w:sz w:val="20"/>
    </w:rPr>
  </w:style>
  <w:style w:type="paragraph" w:styleId="30">
    <w:name w:val="HTML Preformatted"/>
    <w:basedOn w:val="1"/>
    <w:link w:val="6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4"/>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52"/>
    <w:unhideWhenUsed/>
    <w:qFormat/>
    <w:uiPriority w:val="99"/>
    <w:rPr>
      <w:rFonts w:ascii="宋体" w:hAnsi="宋体"/>
      <w:b/>
      <w:bCs/>
      <w:w w:val="90"/>
      <w:kern w:val="0"/>
      <w:sz w:val="20"/>
    </w:rPr>
  </w:style>
  <w:style w:type="table" w:styleId="35">
    <w:name w:val="Table Grid"/>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99"/>
  </w:style>
  <w:style w:type="character" w:styleId="39">
    <w:name w:val="FollowedHyperlink"/>
    <w:basedOn w:val="36"/>
    <w:unhideWhenUsed/>
    <w:qFormat/>
    <w:uiPriority w:val="99"/>
    <w:rPr>
      <w:color w:val="954F72" w:themeColor="followedHyperlink"/>
      <w:u w:val="single"/>
      <w14:textFill>
        <w14:solidFill>
          <w14:schemeClr w14:val="folHlink"/>
        </w14:solidFill>
      </w14:textFill>
    </w:rPr>
  </w:style>
  <w:style w:type="character" w:styleId="40">
    <w:name w:val="Emphasis"/>
    <w:qFormat/>
    <w:uiPriority w:val="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页眉 字符"/>
    <w:basedOn w:val="36"/>
    <w:link w:val="21"/>
    <w:qFormat/>
    <w:uiPriority w:val="99"/>
    <w:rPr>
      <w:sz w:val="18"/>
      <w:szCs w:val="18"/>
    </w:rPr>
  </w:style>
  <w:style w:type="character" w:customStyle="1" w:styleId="46">
    <w:name w:val="页脚 字符"/>
    <w:basedOn w:val="36"/>
    <w:link w:val="20"/>
    <w:qFormat/>
    <w:uiPriority w:val="99"/>
    <w:rPr>
      <w:sz w:val="18"/>
      <w:szCs w:val="18"/>
    </w:rPr>
  </w:style>
  <w:style w:type="character" w:customStyle="1" w:styleId="47">
    <w:name w:val="标题 1 字符"/>
    <w:basedOn w:val="36"/>
    <w:link w:val="2"/>
    <w:qFormat/>
    <w:uiPriority w:val="0"/>
    <w:rPr>
      <w:rFonts w:ascii="Times New Roman" w:hAnsi="Times New Roman" w:eastAsia="黑体" w:cs="Times New Roman"/>
      <w:b/>
      <w:kern w:val="44"/>
      <w:sz w:val="32"/>
      <w:szCs w:val="24"/>
    </w:rPr>
  </w:style>
  <w:style w:type="character" w:customStyle="1" w:styleId="48">
    <w:name w:val="标题 2 字符"/>
    <w:basedOn w:val="36"/>
    <w:link w:val="3"/>
    <w:qFormat/>
    <w:uiPriority w:val="9"/>
    <w:rPr>
      <w:rFonts w:asciiTheme="majorHAnsi" w:hAnsiTheme="majorHAnsi" w:eastAsiaTheme="majorEastAsia" w:cstheme="majorBidi"/>
      <w:b/>
      <w:bCs/>
      <w:sz w:val="32"/>
      <w:szCs w:val="32"/>
    </w:rPr>
  </w:style>
  <w:style w:type="character" w:customStyle="1" w:styleId="49">
    <w:name w:val="标题 3 字符"/>
    <w:basedOn w:val="36"/>
    <w:link w:val="4"/>
    <w:qFormat/>
    <w:uiPriority w:val="0"/>
    <w:rPr>
      <w:rFonts w:ascii="Times New Roman" w:hAnsi="Times New Roman" w:eastAsia="宋体" w:cs="Times New Roman"/>
      <w:b/>
      <w:bCs/>
      <w:kern w:val="0"/>
      <w:sz w:val="24"/>
      <w:szCs w:val="24"/>
    </w:rPr>
  </w:style>
  <w:style w:type="character" w:customStyle="1" w:styleId="50">
    <w:name w:val="标题 4 字符"/>
    <w:basedOn w:val="36"/>
    <w:link w:val="5"/>
    <w:qFormat/>
    <w:uiPriority w:val="9"/>
    <w:rPr>
      <w:rFonts w:ascii="Cambria" w:hAnsi="Cambria" w:eastAsia="宋体" w:cs="Times New Roman"/>
      <w:b/>
      <w:bCs/>
      <w:kern w:val="0"/>
      <w:sz w:val="28"/>
      <w:szCs w:val="28"/>
    </w:rPr>
  </w:style>
  <w:style w:type="character" w:customStyle="1" w:styleId="51">
    <w:name w:val="批注文字 字符"/>
    <w:basedOn w:val="36"/>
    <w:link w:val="10"/>
    <w:qFormat/>
    <w:uiPriority w:val="99"/>
    <w:rPr>
      <w:rFonts w:ascii="Times New Roman" w:hAnsi="Times New Roman" w:eastAsia="宋体" w:cs="Times New Roman"/>
      <w:szCs w:val="24"/>
    </w:rPr>
  </w:style>
  <w:style w:type="character" w:customStyle="1" w:styleId="52">
    <w:name w:val="批注主题 字符"/>
    <w:basedOn w:val="51"/>
    <w:link w:val="33"/>
    <w:qFormat/>
    <w:uiPriority w:val="99"/>
    <w:rPr>
      <w:rFonts w:ascii="宋体" w:hAnsi="宋体" w:eastAsia="宋体" w:cs="Times New Roman"/>
      <w:b/>
      <w:bCs/>
      <w:w w:val="90"/>
      <w:kern w:val="0"/>
      <w:sz w:val="20"/>
      <w:szCs w:val="24"/>
    </w:rPr>
  </w:style>
  <w:style w:type="character" w:customStyle="1" w:styleId="53">
    <w:name w:val="文档结构图 字符"/>
    <w:basedOn w:val="36"/>
    <w:link w:val="8"/>
    <w:qFormat/>
    <w:uiPriority w:val="0"/>
    <w:rPr>
      <w:rFonts w:ascii="宋体" w:hAnsi="Times New Roman" w:eastAsia="宋体" w:cs="Times New Roman"/>
      <w:kern w:val="0"/>
      <w:sz w:val="18"/>
      <w:szCs w:val="18"/>
    </w:rPr>
  </w:style>
  <w:style w:type="character" w:customStyle="1" w:styleId="54">
    <w:name w:val="正文文本 字符"/>
    <w:basedOn w:val="36"/>
    <w:link w:val="11"/>
    <w:qFormat/>
    <w:uiPriority w:val="99"/>
    <w:rPr>
      <w:rFonts w:ascii="Times New Roman" w:hAnsi="Times New Roman" w:eastAsia="宋体" w:cs="Times New Roman"/>
      <w:kern w:val="0"/>
      <w:sz w:val="20"/>
      <w:szCs w:val="24"/>
    </w:rPr>
  </w:style>
  <w:style w:type="character" w:customStyle="1" w:styleId="55">
    <w:name w:val="正文文本缩进 字符"/>
    <w:basedOn w:val="36"/>
    <w:link w:val="12"/>
    <w:qFormat/>
    <w:uiPriority w:val="0"/>
    <w:rPr>
      <w:rFonts w:ascii="Times New Roman" w:hAnsi="Times New Roman" w:eastAsia="宋体" w:cs="Times New Roman"/>
      <w:kern w:val="0"/>
      <w:sz w:val="20"/>
      <w:szCs w:val="24"/>
    </w:rPr>
  </w:style>
  <w:style w:type="character" w:customStyle="1" w:styleId="56">
    <w:name w:val="纯文本 字符"/>
    <w:basedOn w:val="36"/>
    <w:link w:val="15"/>
    <w:qFormat/>
    <w:uiPriority w:val="0"/>
    <w:rPr>
      <w:rFonts w:ascii="宋体" w:hAnsi="Courier New" w:eastAsia="宋体" w:cs="Times New Roman"/>
      <w:kern w:val="0"/>
      <w:sz w:val="20"/>
      <w:szCs w:val="20"/>
    </w:rPr>
  </w:style>
  <w:style w:type="character" w:customStyle="1" w:styleId="57">
    <w:name w:val="日期 字符"/>
    <w:basedOn w:val="36"/>
    <w:link w:val="17"/>
    <w:qFormat/>
    <w:uiPriority w:val="99"/>
    <w:rPr>
      <w:rFonts w:ascii="Times New Roman" w:hAnsi="Times New Roman" w:eastAsia="宋体" w:cs="Times New Roman"/>
      <w:kern w:val="0"/>
      <w:sz w:val="20"/>
      <w:szCs w:val="24"/>
    </w:rPr>
  </w:style>
  <w:style w:type="character" w:customStyle="1" w:styleId="58">
    <w:name w:val="正文文本缩进 2 字符"/>
    <w:basedOn w:val="36"/>
    <w:link w:val="18"/>
    <w:qFormat/>
    <w:uiPriority w:val="0"/>
    <w:rPr>
      <w:rFonts w:ascii="Times New Roman" w:hAnsi="Times New Roman" w:eastAsia="宋体" w:cs="Times New Roman"/>
      <w:kern w:val="0"/>
      <w:sz w:val="24"/>
      <w:szCs w:val="20"/>
    </w:rPr>
  </w:style>
  <w:style w:type="character" w:customStyle="1" w:styleId="59">
    <w:name w:val="批注框文本 字符"/>
    <w:basedOn w:val="36"/>
    <w:link w:val="19"/>
    <w:qFormat/>
    <w:uiPriority w:val="99"/>
    <w:rPr>
      <w:rFonts w:ascii="Times New Roman" w:hAnsi="Times New Roman" w:eastAsia="宋体" w:cs="Times New Roman"/>
      <w:sz w:val="18"/>
      <w:szCs w:val="18"/>
    </w:rPr>
  </w:style>
  <w:style w:type="character" w:customStyle="1" w:styleId="60">
    <w:name w:val="脚注文本 字符"/>
    <w:basedOn w:val="36"/>
    <w:link w:val="24"/>
    <w:semiHidden/>
    <w:qFormat/>
    <w:uiPriority w:val="0"/>
    <w:rPr>
      <w:rFonts w:ascii="Times New Roman" w:hAnsi="Times New Roman" w:eastAsia="宋体" w:cs="Times New Roman"/>
      <w:kern w:val="0"/>
      <w:sz w:val="18"/>
      <w:szCs w:val="18"/>
    </w:rPr>
  </w:style>
  <w:style w:type="character" w:customStyle="1" w:styleId="61">
    <w:name w:val="正文文本缩进 3 字符"/>
    <w:basedOn w:val="36"/>
    <w:link w:val="26"/>
    <w:qFormat/>
    <w:uiPriority w:val="0"/>
    <w:rPr>
      <w:rFonts w:ascii="Times New Roman" w:hAnsi="Times New Roman" w:eastAsia="宋体" w:cs="Times New Roman"/>
      <w:kern w:val="0"/>
      <w:sz w:val="16"/>
      <w:szCs w:val="16"/>
    </w:rPr>
  </w:style>
  <w:style w:type="character" w:customStyle="1" w:styleId="62">
    <w:name w:val="正文文本 2 字符"/>
    <w:basedOn w:val="36"/>
    <w:link w:val="29"/>
    <w:qFormat/>
    <w:uiPriority w:val="0"/>
    <w:rPr>
      <w:rFonts w:ascii="Times New Roman" w:hAnsi="Times New Roman" w:eastAsia="宋体" w:cs="Times New Roman"/>
      <w:kern w:val="0"/>
      <w:sz w:val="20"/>
      <w:szCs w:val="24"/>
    </w:rPr>
  </w:style>
  <w:style w:type="character" w:customStyle="1" w:styleId="63">
    <w:name w:val="HTML 预设格式 字符"/>
    <w:basedOn w:val="36"/>
    <w:link w:val="30"/>
    <w:qFormat/>
    <w:uiPriority w:val="99"/>
    <w:rPr>
      <w:rFonts w:ascii="宋体" w:hAnsi="宋体" w:eastAsia="宋体" w:cs="Times New Roman"/>
      <w:kern w:val="0"/>
      <w:sz w:val="24"/>
      <w:szCs w:val="24"/>
    </w:rPr>
  </w:style>
  <w:style w:type="character" w:customStyle="1" w:styleId="64">
    <w:name w:val="标题 字符"/>
    <w:basedOn w:val="36"/>
    <w:link w:val="32"/>
    <w:qFormat/>
    <w:uiPriority w:val="0"/>
    <w:rPr>
      <w:rFonts w:ascii="Cambria" w:hAnsi="Cambria" w:eastAsia="宋体" w:cs="Times New Roman"/>
      <w:b/>
      <w:bCs/>
      <w:kern w:val="0"/>
      <w:sz w:val="32"/>
      <w:szCs w:val="32"/>
    </w:rPr>
  </w:style>
  <w:style w:type="character" w:customStyle="1" w:styleId="65">
    <w:name w:val="font11"/>
    <w:qFormat/>
    <w:uiPriority w:val="0"/>
    <w:rPr>
      <w:rFonts w:hint="default" w:ascii="Times New Roman" w:hAnsi="Times New Roman" w:cs="Times New Roman"/>
      <w:color w:val="000000"/>
      <w:sz w:val="21"/>
      <w:szCs w:val="21"/>
      <w:u w:val="none"/>
    </w:rPr>
  </w:style>
  <w:style w:type="paragraph" w:customStyle="1" w:styleId="66">
    <w:name w:val="列出段落1"/>
    <w:basedOn w:val="1"/>
    <w:qFormat/>
    <w:uiPriority w:val="34"/>
    <w:pPr>
      <w:ind w:firstLine="420" w:firstLineChars="200"/>
    </w:p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正文缩进 字符"/>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8"/>
    <w:qFormat/>
    <w:uiPriority w:val="0"/>
    <w:pPr>
      <w:spacing w:line="360" w:lineRule="auto"/>
    </w:pPr>
    <w:rPr>
      <w:kern w:val="0"/>
      <w:sz w:val="24"/>
    </w:rPr>
  </w:style>
  <w:style w:type="paragraph" w:customStyle="1" w:styleId="74">
    <w:name w:val="列出段落2"/>
    <w:basedOn w:val="1"/>
    <w:qFormat/>
    <w:uiPriority w:val="34"/>
    <w:pPr>
      <w:ind w:firstLine="420" w:firstLineChars="200"/>
    </w:pPr>
    <w:rPr>
      <w:rFonts w:ascii="Calibri" w:hAnsi="Calibri" w:cs="黑体"/>
      <w:szCs w:val="22"/>
    </w:rPr>
  </w:style>
  <w:style w:type="paragraph" w:customStyle="1" w:styleId="75">
    <w:name w:val="列出段落11"/>
    <w:basedOn w:val="1"/>
    <w:qFormat/>
    <w:uiPriority w:val="0"/>
    <w:pPr>
      <w:spacing w:line="360" w:lineRule="exact"/>
      <w:ind w:left="-50" w:leftChars="-50" w:firstLine="420" w:firstLineChars="200"/>
    </w:pPr>
  </w:style>
  <w:style w:type="paragraph" w:customStyle="1" w:styleId="76">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7">
    <w:name w:val="_Style 1"/>
    <w:basedOn w:val="1"/>
    <w:qFormat/>
    <w:uiPriority w:val="34"/>
    <w:pPr>
      <w:ind w:firstLine="420" w:firstLineChars="200"/>
    </w:pPr>
    <w:rPr>
      <w:rFonts w:ascii="Calibri" w:hAnsi="Calibri"/>
      <w:szCs w:val="22"/>
    </w:rPr>
  </w:style>
  <w:style w:type="paragraph" w:customStyle="1" w:styleId="78">
    <w:name w:val="sentence-other"/>
    <w:basedOn w:val="1"/>
    <w:qFormat/>
    <w:uiPriority w:val="0"/>
    <w:pPr>
      <w:jc w:val="left"/>
    </w:pPr>
    <w:rPr>
      <w:rFonts w:ascii="微软雅黑" w:hAnsi="微软雅黑" w:eastAsia="微软雅黑"/>
      <w:kern w:val="0"/>
      <w:sz w:val="24"/>
    </w:rPr>
  </w:style>
  <w:style w:type="paragraph" w:customStyle="1" w:styleId="79">
    <w:name w:val="p0"/>
    <w:basedOn w:val="1"/>
    <w:qFormat/>
    <w:uiPriority w:val="0"/>
    <w:pPr>
      <w:widowControl/>
    </w:pPr>
    <w:rPr>
      <w:kern w:val="0"/>
      <w:szCs w:val="21"/>
    </w:rPr>
  </w:style>
  <w:style w:type="paragraph" w:customStyle="1" w:styleId="8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81">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2">
    <w:name w:val="Char1"/>
    <w:basedOn w:val="1"/>
    <w:qFormat/>
    <w:uiPriority w:val="0"/>
    <w:pPr>
      <w:widowControl/>
      <w:spacing w:after="160" w:line="240" w:lineRule="exact"/>
      <w:jc w:val="left"/>
    </w:pPr>
  </w:style>
  <w:style w:type="paragraph" w:customStyle="1" w:styleId="83">
    <w:name w:val="List Paragraph1"/>
    <w:basedOn w:val="1"/>
    <w:qFormat/>
    <w:uiPriority w:val="0"/>
    <w:pPr>
      <w:widowControl/>
      <w:ind w:firstLine="420" w:firstLineChars="200"/>
      <w:jc w:val="left"/>
    </w:pPr>
    <w:rPr>
      <w:kern w:val="0"/>
      <w:sz w:val="20"/>
      <w:szCs w:val="20"/>
    </w:rPr>
  </w:style>
  <w:style w:type="paragraph" w:customStyle="1" w:styleId="84">
    <w:name w:val="列出段落21"/>
    <w:basedOn w:val="1"/>
    <w:qFormat/>
    <w:uiPriority w:val="99"/>
    <w:pPr>
      <w:ind w:firstLine="420" w:firstLineChars="200"/>
    </w:pPr>
    <w:rPr>
      <w:rFonts w:ascii="等线" w:hAnsi="等线" w:eastAsia="等线"/>
      <w:szCs w:val="21"/>
    </w:rPr>
  </w:style>
  <w:style w:type="paragraph" w:customStyle="1" w:styleId="8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6">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4">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09">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2">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qFormat/>
    <w:uiPriority w:val="0"/>
    <w:pPr>
      <w:widowControl/>
      <w:spacing w:after="160" w:line="240" w:lineRule="exact"/>
      <w:jc w:val="left"/>
    </w:pPr>
  </w:style>
  <w:style w:type="paragraph" w:customStyle="1" w:styleId="125">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6">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27">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m_正文 Char"/>
    <w:link w:val="73"/>
    <w:qFormat/>
    <w:locked/>
    <w:uiPriority w:val="0"/>
    <w:rPr>
      <w:rFonts w:ascii="Times New Roman" w:hAnsi="Times New Roman" w:eastAsia="宋体" w:cs="Times New Roman"/>
      <w:kern w:val="0"/>
      <w:sz w:val="24"/>
      <w:szCs w:val="24"/>
    </w:rPr>
  </w:style>
  <w:style w:type="character" w:customStyle="1" w:styleId="129">
    <w:name w:val="m_正文 Char Char"/>
    <w:qFormat/>
    <w:uiPriority w:val="0"/>
    <w:rPr>
      <w:kern w:val="2"/>
      <w:sz w:val="24"/>
      <w:szCs w:val="24"/>
    </w:rPr>
  </w:style>
  <w:style w:type="character" w:customStyle="1" w:styleId="130">
    <w:name w:val="font01"/>
    <w:qFormat/>
    <w:uiPriority w:val="0"/>
    <w:rPr>
      <w:rFonts w:hint="eastAsia" w:ascii="宋体" w:hAnsi="宋体" w:eastAsia="宋体" w:cs="宋体"/>
      <w:color w:val="000000"/>
      <w:sz w:val="21"/>
      <w:szCs w:val="21"/>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character" w:customStyle="1" w:styleId="132">
    <w:name w:val="文档结构图 Char1"/>
    <w:semiHidden/>
    <w:qFormat/>
    <w:uiPriority w:val="99"/>
    <w:rPr>
      <w:rFonts w:ascii="宋体" w:hAnsi="Times New Roman" w:eastAsia="宋体" w:cs="Times New Roman"/>
      <w:sz w:val="18"/>
      <w:szCs w:val="18"/>
    </w:rPr>
  </w:style>
  <w:style w:type="character" w:customStyle="1" w:styleId="133">
    <w:name w:val="页眉 Char1"/>
    <w:semiHidden/>
    <w:qFormat/>
    <w:uiPriority w:val="0"/>
    <w:rPr>
      <w:rFonts w:ascii="宋体" w:hAnsi="宋体"/>
      <w:w w:val="90"/>
      <w:kern w:val="2"/>
      <w:sz w:val="18"/>
      <w:szCs w:val="18"/>
    </w:rPr>
  </w:style>
  <w:style w:type="character" w:customStyle="1" w:styleId="134">
    <w:name w:val="批注文字 Char1"/>
    <w:semiHidden/>
    <w:qFormat/>
    <w:uiPriority w:val="99"/>
    <w:rPr>
      <w:rFonts w:ascii="Times New Roman" w:hAnsi="Times New Roman" w:eastAsia="宋体" w:cs="Times New Roman"/>
      <w:szCs w:val="24"/>
    </w:rPr>
  </w:style>
  <w:style w:type="character" w:customStyle="1" w:styleId="135">
    <w:name w:val="批注框文本 Char1"/>
    <w:semiHidden/>
    <w:qFormat/>
    <w:uiPriority w:val="99"/>
    <w:rPr>
      <w:rFonts w:ascii="Times New Roman" w:hAnsi="Times New Roman" w:eastAsia="宋体" w:cs="Times New Roman"/>
      <w:sz w:val="18"/>
      <w:szCs w:val="18"/>
    </w:rPr>
  </w:style>
  <w:style w:type="character" w:customStyle="1" w:styleId="136">
    <w:name w:val="批注主题 Char1"/>
    <w:semiHidden/>
    <w:qFormat/>
    <w:uiPriority w:val="99"/>
    <w:rPr>
      <w:rFonts w:ascii="Times New Roman" w:hAnsi="Times New Roman" w:eastAsia="宋体" w:cs="Times New Roman"/>
      <w:b/>
      <w:bCs/>
      <w:szCs w:val="24"/>
    </w:rPr>
  </w:style>
  <w:style w:type="character" w:customStyle="1" w:styleId="137">
    <w:name w:val="页脚 Char1"/>
    <w:semiHidden/>
    <w:qFormat/>
    <w:uiPriority w:val="0"/>
    <w:rPr>
      <w:rFonts w:ascii="宋体" w:hAnsi="宋体"/>
      <w:w w:val="90"/>
      <w:kern w:val="2"/>
      <w:sz w:val="18"/>
      <w:szCs w:val="18"/>
    </w:rPr>
  </w:style>
  <w:style w:type="character" w:customStyle="1" w:styleId="138">
    <w:name w:val="class6"/>
    <w:qFormat/>
    <w:uiPriority w:val="0"/>
  </w:style>
  <w:style w:type="character" w:customStyle="1" w:styleId="139">
    <w:name w:val="trans"/>
    <w:basedOn w:val="36"/>
    <w:qFormat/>
    <w:uiPriority w:val="0"/>
  </w:style>
  <w:style w:type="character" w:customStyle="1" w:styleId="140">
    <w:name w:val="highlight"/>
    <w:basedOn w:val="36"/>
    <w:qFormat/>
    <w:uiPriority w:val="0"/>
  </w:style>
  <w:style w:type="character" w:customStyle="1" w:styleId="141">
    <w:name w:val="apple-converted-space"/>
    <w:qFormat/>
    <w:uiPriority w:val="0"/>
    <w:rPr>
      <w:rFonts w:cs="Times New Roman"/>
    </w:rPr>
  </w:style>
  <w:style w:type="character" w:customStyle="1" w:styleId="142">
    <w:name w:val="def"/>
    <w:qFormat/>
    <w:uiPriority w:val="99"/>
    <w:rPr>
      <w:rFonts w:cs="Times New Roman"/>
    </w:rPr>
  </w:style>
  <w:style w:type="character" w:customStyle="1" w:styleId="143">
    <w:name w:val="正文文本缩进 2 Char1"/>
    <w:semiHidden/>
    <w:qFormat/>
    <w:uiPriority w:val="99"/>
    <w:rPr>
      <w:rFonts w:ascii="Times New Roman" w:hAnsi="Times New Roman"/>
      <w:kern w:val="2"/>
      <w:sz w:val="21"/>
      <w:szCs w:val="24"/>
    </w:rPr>
  </w:style>
  <w:style w:type="character" w:customStyle="1" w:styleId="144">
    <w:name w:val="hps"/>
    <w:basedOn w:val="36"/>
    <w:qFormat/>
    <w:uiPriority w:val="0"/>
  </w:style>
  <w:style w:type="character" w:customStyle="1" w:styleId="145">
    <w:name w:val="页码1"/>
    <w:qFormat/>
    <w:uiPriority w:val="0"/>
    <w:rPr>
      <w:rFonts w:cs="Times New Roman"/>
    </w:rPr>
  </w:style>
  <w:style w:type="character" w:customStyle="1" w:styleId="146">
    <w:name w:val="Char Char2"/>
    <w:qFormat/>
    <w:uiPriority w:val="0"/>
    <w:rPr>
      <w:b/>
      <w:bCs/>
      <w:kern w:val="44"/>
      <w:sz w:val="44"/>
      <w:szCs w:val="44"/>
    </w:rPr>
  </w:style>
  <w:style w:type="character" w:customStyle="1" w:styleId="147">
    <w:name w:val="qb-content"/>
    <w:basedOn w:val="36"/>
    <w:qFormat/>
    <w:uiPriority w:val="0"/>
  </w:style>
  <w:style w:type="character" w:customStyle="1" w:styleId="148">
    <w:name w:val="正文文本缩进 3 Char1"/>
    <w:semiHidden/>
    <w:qFormat/>
    <w:uiPriority w:val="0"/>
    <w:rPr>
      <w:kern w:val="2"/>
      <w:sz w:val="16"/>
      <w:szCs w:val="16"/>
    </w:rPr>
  </w:style>
  <w:style w:type="character" w:customStyle="1" w:styleId="149">
    <w:name w:val="标题 Char1"/>
    <w:qFormat/>
    <w:uiPriority w:val="0"/>
    <w:rPr>
      <w:rFonts w:ascii="Cambria" w:hAnsi="Cambria" w:cs="黑体"/>
      <w:b/>
      <w:bCs/>
      <w:kern w:val="2"/>
      <w:sz w:val="32"/>
      <w:szCs w:val="32"/>
    </w:rPr>
  </w:style>
  <w:style w:type="character" w:customStyle="1" w:styleId="150">
    <w:name w:val="Char Char9"/>
    <w:qFormat/>
    <w:uiPriority w:val="0"/>
    <w:rPr>
      <w:rFonts w:ascii="宋体" w:hAnsi="宋体" w:eastAsia="宋体"/>
      <w:b/>
      <w:bCs/>
      <w:color w:val="000000"/>
      <w:kern w:val="44"/>
      <w:sz w:val="32"/>
      <w:lang w:val="en-US" w:eastAsia="zh-CN" w:bidi="ar-SA"/>
    </w:rPr>
  </w:style>
  <w:style w:type="character" w:customStyle="1" w:styleId="151">
    <w:name w:val="Char Char8"/>
    <w:qFormat/>
    <w:uiPriority w:val="0"/>
    <w:rPr>
      <w:rFonts w:eastAsia="宋体"/>
      <w:b/>
      <w:kern w:val="2"/>
      <w:sz w:val="24"/>
      <w:szCs w:val="24"/>
      <w:lang w:val="en-US" w:eastAsia="zh-CN" w:bidi="ar-SA"/>
    </w:rPr>
  </w:style>
  <w:style w:type="character" w:customStyle="1" w:styleId="152">
    <w:name w:val="short_text"/>
    <w:qFormat/>
    <w:uiPriority w:val="0"/>
  </w:style>
  <w:style w:type="character" w:customStyle="1" w:styleId="153">
    <w:name w:val="high-light-bg ordinary-span-edit"/>
    <w:basedOn w:val="36"/>
    <w:qFormat/>
    <w:uiPriority w:val="0"/>
  </w:style>
  <w:style w:type="character" w:customStyle="1" w:styleId="154">
    <w:name w:val="006486-13-noline1"/>
    <w:qFormat/>
    <w:uiPriority w:val="0"/>
    <w:rPr>
      <w:rFonts w:hint="default"/>
      <w:color w:val="006486"/>
      <w:sz w:val="26"/>
      <w:szCs w:val="26"/>
      <w:u w:val="none"/>
    </w:rPr>
  </w:style>
  <w:style w:type="character" w:customStyle="1" w:styleId="155">
    <w:name w:val="正文文本缩进 Char1"/>
    <w:semiHidden/>
    <w:qFormat/>
    <w:uiPriority w:val="99"/>
    <w:rPr>
      <w:rFonts w:ascii="Tahoma" w:hAnsi="Tahoma"/>
    </w:rPr>
  </w:style>
  <w:style w:type="character" w:customStyle="1" w:styleId="156">
    <w:name w:val="style2"/>
    <w:basedOn w:val="36"/>
    <w:qFormat/>
    <w:uiPriority w:val="0"/>
  </w:style>
  <w:style w:type="character" w:customStyle="1" w:styleId="157">
    <w:name w:val="st1"/>
    <w:qFormat/>
    <w:uiPriority w:val="0"/>
    <w:rPr>
      <w:color w:val="222222"/>
      <w:sz w:val="27"/>
      <w:szCs w:val="27"/>
    </w:rPr>
  </w:style>
  <w:style w:type="character" w:customStyle="1" w:styleId="158">
    <w:name w:val="word"/>
    <w:qFormat/>
    <w:uiPriority w:val="0"/>
    <w:rPr>
      <w:rFonts w:cs="Times New Roman"/>
    </w:rPr>
  </w:style>
  <w:style w:type="character" w:customStyle="1" w:styleId="159">
    <w:name w:val="client_sen_word1"/>
    <w:qFormat/>
    <w:uiPriority w:val="0"/>
    <w:rPr>
      <w:sz w:val="22"/>
      <w:szCs w:val="22"/>
    </w:rPr>
  </w:style>
  <w:style w:type="character" w:customStyle="1" w:styleId="160">
    <w:name w:val="high-light-bg4"/>
    <w:basedOn w:val="36"/>
    <w:qFormat/>
    <w:uiPriority w:val="0"/>
  </w:style>
  <w:style w:type="character" w:customStyle="1" w:styleId="161">
    <w:name w:val="prompt-text2"/>
    <w:qFormat/>
    <w:uiPriority w:val="0"/>
    <w:rPr>
      <w:color w:val="DD4B39"/>
    </w:rPr>
  </w:style>
  <w:style w:type="character" w:customStyle="1" w:styleId="162">
    <w:name w:val="ordinary-span-edit2"/>
    <w:basedOn w:val="36"/>
    <w:qFormat/>
    <w:uiPriority w:val="0"/>
  </w:style>
  <w:style w:type="character" w:customStyle="1" w:styleId="163">
    <w:name w:val="apple-style-span"/>
    <w:basedOn w:val="36"/>
    <w:qFormat/>
    <w:uiPriority w:val="0"/>
  </w:style>
  <w:style w:type="character" w:customStyle="1" w:styleId="164">
    <w:name w:val="Char Char81"/>
    <w:qFormat/>
    <w:uiPriority w:val="0"/>
    <w:rPr>
      <w:rFonts w:eastAsia="宋体"/>
      <w:b/>
      <w:kern w:val="2"/>
      <w:sz w:val="24"/>
      <w:szCs w:val="24"/>
      <w:lang w:val="en-US" w:eastAsia="zh-CN" w:bidi="ar-SA"/>
    </w:rPr>
  </w:style>
  <w:style w:type="character" w:customStyle="1" w:styleId="165">
    <w:name w:val="Char Char91"/>
    <w:qFormat/>
    <w:uiPriority w:val="0"/>
    <w:rPr>
      <w:rFonts w:ascii="宋体" w:hAnsi="宋体" w:eastAsia="宋体"/>
      <w:b/>
      <w:bCs/>
      <w:color w:val="000000"/>
      <w:kern w:val="44"/>
      <w:sz w:val="32"/>
      <w:lang w:val="en-US" w:eastAsia="zh-CN" w:bidi="ar-SA"/>
    </w:rPr>
  </w:style>
  <w:style w:type="character" w:customStyle="1" w:styleId="166">
    <w:name w:val="contenttitle"/>
    <w:qFormat/>
    <w:uiPriority w:val="99"/>
    <w:rPr>
      <w:rFonts w:cs="Times New Roman"/>
    </w:rPr>
  </w:style>
  <w:style w:type="character" w:customStyle="1" w:styleId="167">
    <w:name w:val="datatitle1"/>
    <w:qFormat/>
    <w:uiPriority w:val="99"/>
    <w:rPr>
      <w:b/>
      <w:color w:val="10619F"/>
      <w:sz w:val="21"/>
    </w:rPr>
  </w:style>
  <w:style w:type="character" w:customStyle="1" w:styleId="168">
    <w:name w:val="alt-edited"/>
    <w:qFormat/>
    <w:uiPriority w:val="0"/>
  </w:style>
  <w:style w:type="character" w:customStyle="1" w:styleId="169">
    <w:name w:val="en"/>
    <w:qFormat/>
    <w:uiPriority w:val="0"/>
    <w:rPr>
      <w:rFonts w:cs="Times New Roman"/>
    </w:rPr>
  </w:style>
  <w:style w:type="character" w:customStyle="1" w:styleId="170">
    <w:name w:val="heighlight"/>
    <w:qFormat/>
    <w:uiPriority w:val="0"/>
    <w:rPr>
      <w:rFonts w:cs="Times New Roman"/>
    </w:rPr>
  </w:style>
  <w:style w:type="character" w:customStyle="1" w:styleId="171">
    <w:name w:val="lijuyuanxing"/>
    <w:qFormat/>
    <w:uiPriority w:val="0"/>
    <w:rPr>
      <w:rFonts w:cs="Times New Roman"/>
    </w:rPr>
  </w:style>
  <w:style w:type="character" w:customStyle="1" w:styleId="172">
    <w:name w:val="Char Char"/>
    <w:qFormat/>
    <w:uiPriority w:val="0"/>
    <w:rPr>
      <w:rFonts w:eastAsia="宋体"/>
      <w:b/>
      <w:kern w:val="2"/>
      <w:sz w:val="21"/>
      <w:szCs w:val="24"/>
      <w:lang w:bidi="ar-SA"/>
    </w:rPr>
  </w:style>
  <w:style w:type="paragraph" w:customStyle="1" w:styleId="173">
    <w:name w:val="列出段落3"/>
    <w:basedOn w:val="1"/>
    <w:qFormat/>
    <w:uiPriority w:val="99"/>
    <w:pPr>
      <w:ind w:left="720"/>
    </w:pPr>
    <w:rPr>
      <w:szCs w:val="21"/>
    </w:rPr>
  </w:style>
  <w:style w:type="character" w:customStyle="1" w:styleId="174">
    <w:name w:val="high-light-bg"/>
    <w:basedOn w:val="36"/>
    <w:qFormat/>
    <w:uiPriority w:val="0"/>
  </w:style>
  <w:style w:type="character" w:customStyle="1" w:styleId="175">
    <w:name w:val="占位符文本1"/>
    <w:unhideWhenUsed/>
    <w:qFormat/>
    <w:uiPriority w:val="99"/>
    <w:rPr>
      <w:color w:val="808080"/>
    </w:rPr>
  </w:style>
  <w:style w:type="character" w:customStyle="1" w:styleId="176">
    <w:name w:val="样式1 字符"/>
    <w:link w:val="177"/>
    <w:qFormat/>
    <w:uiPriority w:val="0"/>
    <w:rPr>
      <w:rFonts w:eastAsia="正文宋体"/>
      <w:sz w:val="28"/>
      <w:szCs w:val="21"/>
    </w:rPr>
  </w:style>
  <w:style w:type="paragraph" w:customStyle="1" w:styleId="177">
    <w:name w:val="样式1"/>
    <w:basedOn w:val="1"/>
    <w:link w:val="176"/>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8">
    <w:name w:val="标题 3 Char1"/>
    <w:qFormat/>
    <w:locked/>
    <w:uiPriority w:val="0"/>
    <w:rPr>
      <w:rFonts w:ascii="Times New Roman" w:hAnsi="Times New Roman" w:eastAsia="宋体" w:cs="Times New Roman"/>
      <w:b/>
      <w:bCs/>
      <w:kern w:val="0"/>
      <w:szCs w:val="24"/>
    </w:rPr>
  </w:style>
  <w:style w:type="paragraph" w:customStyle="1" w:styleId="179">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181">
    <w:name w:val="无间隔2"/>
    <w:basedOn w:val="1"/>
    <w:qFormat/>
    <w:uiPriority w:val="1"/>
    <w:pPr>
      <w:adjustRightInd w:val="0"/>
      <w:snapToGrid w:val="0"/>
      <w:jc w:val="center"/>
    </w:pPr>
    <w:rPr>
      <w:rFonts w:ascii="宋体" w:hAnsi="宋体" w:cstheme="minorBidi"/>
      <w:sz w:val="22"/>
    </w:rPr>
  </w:style>
  <w:style w:type="paragraph" w:styleId="182">
    <w:name w:val="List Paragraph"/>
    <w:basedOn w:val="1"/>
    <w:qFormat/>
    <w:uiPriority w:val="34"/>
    <w:pPr>
      <w:ind w:firstLine="420" w:firstLineChars="200"/>
    </w:pPr>
  </w:style>
  <w:style w:type="character" w:styleId="183">
    <w:name w:val="Placeholder Text"/>
    <w:unhideWhenUsed/>
    <w:qFormat/>
    <w:uiPriority w:val="99"/>
    <w:rPr>
      <w:color w:val="808080"/>
    </w:rPr>
  </w:style>
  <w:style w:type="paragraph" w:styleId="184">
    <w:name w:val="No Spacing"/>
    <w:basedOn w:val="1"/>
    <w:qFormat/>
    <w:uiPriority w:val="1"/>
    <w:pPr>
      <w:adjustRightInd w:val="0"/>
      <w:snapToGrid w:val="0"/>
      <w:jc w:val="center"/>
    </w:pPr>
    <w:rPr>
      <w:rFonts w:ascii="宋体" w:hAnsi="宋体" w:cstheme="minorBidi"/>
      <w:sz w:val="22"/>
    </w:rPr>
  </w:style>
  <w:style w:type="character" w:customStyle="1" w:styleId="185">
    <w:name w:val="标题 1 字符1"/>
    <w:basedOn w:val="36"/>
    <w:qFormat/>
    <w:uiPriority w:val="0"/>
    <w:rPr>
      <w:rFonts w:ascii="Times New Roman" w:hAnsi="Times New Roman" w:eastAsia="黑体" w:cs="Times New Roman"/>
      <w:b/>
      <w:kern w:val="44"/>
      <w:sz w:val="32"/>
      <w:szCs w:val="24"/>
    </w:rPr>
  </w:style>
  <w:style w:type="character" w:customStyle="1" w:styleId="186">
    <w:name w:val="标题 2 字符1"/>
    <w:basedOn w:val="36"/>
    <w:qFormat/>
    <w:uiPriority w:val="9"/>
    <w:rPr>
      <w:rFonts w:asciiTheme="majorHAnsi" w:hAnsiTheme="majorHAnsi" w:eastAsiaTheme="majorEastAsia" w:cstheme="majorBidi"/>
      <w:b/>
      <w:bCs/>
      <w:sz w:val="32"/>
      <w:szCs w:val="32"/>
    </w:rPr>
  </w:style>
  <w:style w:type="character" w:customStyle="1" w:styleId="187">
    <w:name w:val="标题 3 字符1"/>
    <w:basedOn w:val="36"/>
    <w:qFormat/>
    <w:uiPriority w:val="0"/>
    <w:rPr>
      <w:rFonts w:ascii="Times New Roman" w:hAnsi="Times New Roman" w:eastAsia="宋体" w:cs="Times New Roman"/>
      <w:b/>
      <w:sz w:val="24"/>
      <w:szCs w:val="24"/>
    </w:rPr>
  </w:style>
  <w:style w:type="character" w:customStyle="1" w:styleId="188">
    <w:name w:val="纯文本 字符1"/>
    <w:qFormat/>
    <w:uiPriority w:val="0"/>
    <w:rPr>
      <w:rFonts w:ascii="宋体" w:hAnsi="Courier New" w:eastAsia="宋体"/>
    </w:rPr>
  </w:style>
  <w:style w:type="character" w:customStyle="1" w:styleId="189">
    <w:name w:val="纯文本 Char"/>
    <w:basedOn w:val="36"/>
    <w:semiHidden/>
    <w:qFormat/>
    <w:uiPriority w:val="99"/>
    <w:rPr>
      <w:rFonts w:ascii="宋体" w:hAnsi="Courier New" w:eastAsia="宋体" w:cs="Courier New"/>
      <w:szCs w:val="21"/>
    </w:rPr>
  </w:style>
  <w:style w:type="character" w:customStyle="1" w:styleId="190">
    <w:name w:val="标题 1 Char1"/>
    <w:qFormat/>
    <w:uiPriority w:val="0"/>
    <w:rPr>
      <w:rFonts w:ascii="Times New Roman" w:hAnsi="Times New Roman" w:eastAsia="黑体" w:cs="Times New Roman"/>
      <w:b/>
      <w:kern w:val="44"/>
      <w:sz w:val="32"/>
      <w:szCs w:val="24"/>
    </w:rPr>
  </w:style>
  <w:style w:type="character" w:customStyle="1" w:styleId="191">
    <w:name w:val="标题 2 Char1"/>
    <w:qFormat/>
    <w:uiPriority w:val="0"/>
    <w:rPr>
      <w:rFonts w:ascii="Times New Roman" w:hAnsi="Times New Roman" w:eastAsia="宋体" w:cs="Times New Roman"/>
      <w:sz w:val="24"/>
      <w:szCs w:val="24"/>
    </w:rPr>
  </w:style>
  <w:style w:type="character" w:customStyle="1" w:styleId="192">
    <w:name w:val="批注文字 字符1"/>
    <w:basedOn w:val="36"/>
    <w:qFormat/>
    <w:uiPriority w:val="99"/>
    <w:rPr>
      <w:rFonts w:ascii="Times New Roman" w:hAnsi="Times New Roman" w:eastAsia="宋体" w:cs="Times New Roman"/>
      <w:szCs w:val="24"/>
      <w:lang w:val="zh-CN" w:eastAsia="zh-CN"/>
    </w:rPr>
  </w:style>
  <w:style w:type="character" w:customStyle="1" w:styleId="193">
    <w:name w:val="批注框文本 字符1"/>
    <w:basedOn w:val="36"/>
    <w:qFormat/>
    <w:uiPriority w:val="99"/>
    <w:rPr>
      <w:rFonts w:ascii="Times New Roman" w:hAnsi="Times New Roman" w:eastAsia="宋体" w:cs="Times New Roman"/>
      <w:sz w:val="18"/>
      <w:szCs w:val="18"/>
      <w:lang w:val="zh-CN" w:eastAsia="zh-CN"/>
    </w:rPr>
  </w:style>
  <w:style w:type="character" w:customStyle="1" w:styleId="194">
    <w:name w:val="页脚 字符1"/>
    <w:basedOn w:val="36"/>
    <w:qFormat/>
    <w:uiPriority w:val="99"/>
    <w:rPr>
      <w:rFonts w:ascii="Times New Roman" w:hAnsi="Times New Roman" w:eastAsia="宋体" w:cs="Times New Roman"/>
      <w:sz w:val="18"/>
      <w:szCs w:val="18"/>
      <w:lang w:val="zh-CN" w:eastAsia="zh-CN"/>
    </w:rPr>
  </w:style>
  <w:style w:type="character" w:customStyle="1" w:styleId="195">
    <w:name w:val="页眉 字符1"/>
    <w:basedOn w:val="36"/>
    <w:qFormat/>
    <w:uiPriority w:val="99"/>
    <w:rPr>
      <w:rFonts w:ascii="Times New Roman" w:hAnsi="Times New Roman" w:eastAsia="宋体" w:cs="Times New Roman"/>
      <w:sz w:val="18"/>
      <w:szCs w:val="18"/>
      <w:lang w:val="zh-CN" w:eastAsia="zh-CN"/>
    </w:rPr>
  </w:style>
  <w:style w:type="character" w:customStyle="1" w:styleId="196">
    <w:name w:val="批注主题 字符1"/>
    <w:basedOn w:val="192"/>
    <w:qFormat/>
    <w:uiPriority w:val="99"/>
    <w:rPr>
      <w:rFonts w:ascii="Times New Roman" w:hAnsi="Times New Roman" w:eastAsia="宋体" w:cs="Times New Roman"/>
      <w:b/>
      <w:bCs/>
      <w:szCs w:val="24"/>
      <w:lang w:val="zh-CN" w:eastAsia="zh-CN"/>
    </w:rPr>
  </w:style>
  <w:style w:type="character" w:customStyle="1" w:styleId="197">
    <w:name w:val="标题 4 Char"/>
    <w:basedOn w:val="36"/>
    <w:semiHidden/>
    <w:qFormat/>
    <w:uiPriority w:val="9"/>
    <w:rPr>
      <w:rFonts w:asciiTheme="majorHAnsi" w:hAnsiTheme="majorHAnsi" w:eastAsiaTheme="majorEastAsia" w:cstheme="majorBidi"/>
      <w:b/>
      <w:bCs/>
      <w:sz w:val="28"/>
      <w:szCs w:val="28"/>
    </w:rPr>
  </w:style>
  <w:style w:type="character" w:customStyle="1" w:styleId="198">
    <w:name w:val="正文缩进 字符1"/>
    <w:qFormat/>
    <w:uiPriority w:val="99"/>
    <w:rPr>
      <w:rFonts w:ascii="Times New Roman" w:hAnsi="Times New Roman" w:eastAsia="宋体" w:cs="Times New Roman"/>
      <w:szCs w:val="24"/>
    </w:rPr>
  </w:style>
  <w:style w:type="character" w:customStyle="1" w:styleId="199">
    <w:name w:val="标题 4 字符1"/>
    <w:qFormat/>
    <w:uiPriority w:val="9"/>
    <w:rPr>
      <w:rFonts w:ascii="Cambria" w:hAnsi="Cambria" w:eastAsia="宋体" w:cs="Times New Roman"/>
      <w:b/>
      <w:bCs/>
      <w:kern w:val="0"/>
      <w:sz w:val="28"/>
      <w:szCs w:val="28"/>
    </w:rPr>
  </w:style>
  <w:style w:type="character" w:customStyle="1" w:styleId="200">
    <w:name w:val="文档结构图 Char"/>
    <w:basedOn w:val="36"/>
    <w:semiHidden/>
    <w:qFormat/>
    <w:uiPriority w:val="99"/>
    <w:rPr>
      <w:rFonts w:ascii="Microsoft YaHei UI" w:hAnsi="Times New Roman" w:eastAsia="Microsoft YaHei UI" w:cs="Times New Roman"/>
      <w:sz w:val="18"/>
      <w:szCs w:val="18"/>
    </w:rPr>
  </w:style>
  <w:style w:type="character" w:customStyle="1" w:styleId="201">
    <w:name w:val="文档结构图 字符1"/>
    <w:qFormat/>
    <w:uiPriority w:val="0"/>
    <w:rPr>
      <w:rFonts w:ascii="宋体" w:hAnsi="宋体" w:eastAsia="宋体" w:cs="Times New Roman"/>
      <w:w w:val="90"/>
      <w:kern w:val="0"/>
      <w:sz w:val="18"/>
      <w:szCs w:val="18"/>
    </w:rPr>
  </w:style>
  <w:style w:type="character" w:customStyle="1" w:styleId="202">
    <w:name w:val="批注文字 Char2"/>
    <w:qFormat/>
    <w:uiPriority w:val="99"/>
    <w:rPr>
      <w:rFonts w:ascii="Times New Roman" w:hAnsi="Times New Roman" w:eastAsia="宋体" w:cs="Times New Roman"/>
      <w:kern w:val="0"/>
      <w:sz w:val="20"/>
      <w:szCs w:val="24"/>
    </w:rPr>
  </w:style>
  <w:style w:type="character" w:customStyle="1" w:styleId="203">
    <w:name w:val="正文文本 Char"/>
    <w:basedOn w:val="36"/>
    <w:semiHidden/>
    <w:qFormat/>
    <w:uiPriority w:val="99"/>
    <w:rPr>
      <w:rFonts w:ascii="Times New Roman" w:hAnsi="Times New Roman" w:eastAsia="宋体" w:cs="Times New Roman"/>
      <w:szCs w:val="24"/>
    </w:rPr>
  </w:style>
  <w:style w:type="character" w:customStyle="1" w:styleId="204">
    <w:name w:val="正文文本 字符1"/>
    <w:qFormat/>
    <w:uiPriority w:val="99"/>
    <w:rPr>
      <w:rFonts w:ascii="Times New Roman" w:hAnsi="Times New Roman" w:eastAsia="宋体" w:cs="Times New Roman"/>
      <w:kern w:val="0"/>
      <w:sz w:val="20"/>
      <w:szCs w:val="24"/>
    </w:rPr>
  </w:style>
  <w:style w:type="character" w:customStyle="1" w:styleId="205">
    <w:name w:val="正文文本缩进 Char"/>
    <w:basedOn w:val="36"/>
    <w:semiHidden/>
    <w:qFormat/>
    <w:uiPriority w:val="99"/>
    <w:rPr>
      <w:rFonts w:ascii="Times New Roman" w:hAnsi="Times New Roman" w:eastAsia="宋体" w:cs="Times New Roman"/>
      <w:szCs w:val="24"/>
    </w:rPr>
  </w:style>
  <w:style w:type="character" w:customStyle="1" w:styleId="206">
    <w:name w:val="正文文本缩进 字符1"/>
    <w:qFormat/>
    <w:uiPriority w:val="0"/>
    <w:rPr>
      <w:rFonts w:ascii="Times New Roman" w:hAnsi="Times New Roman" w:eastAsia="宋体" w:cs="Times New Roman"/>
      <w:kern w:val="0"/>
      <w:sz w:val="20"/>
      <w:szCs w:val="24"/>
    </w:rPr>
  </w:style>
  <w:style w:type="character" w:customStyle="1" w:styleId="207">
    <w:name w:val="日期 Char"/>
    <w:basedOn w:val="36"/>
    <w:semiHidden/>
    <w:qFormat/>
    <w:uiPriority w:val="99"/>
    <w:rPr>
      <w:rFonts w:ascii="Times New Roman" w:hAnsi="Times New Roman" w:eastAsia="宋体" w:cs="Times New Roman"/>
      <w:szCs w:val="24"/>
    </w:rPr>
  </w:style>
  <w:style w:type="character" w:customStyle="1" w:styleId="208">
    <w:name w:val="日期 字符1"/>
    <w:qFormat/>
    <w:uiPriority w:val="99"/>
    <w:rPr>
      <w:rFonts w:ascii="Times New Roman" w:hAnsi="Times New Roman" w:eastAsia="宋体" w:cs="Times New Roman"/>
      <w:kern w:val="0"/>
      <w:sz w:val="20"/>
      <w:szCs w:val="24"/>
    </w:rPr>
  </w:style>
  <w:style w:type="character" w:customStyle="1" w:styleId="209">
    <w:name w:val="正文文本缩进 2 Char"/>
    <w:basedOn w:val="36"/>
    <w:qFormat/>
    <w:uiPriority w:val="0"/>
    <w:rPr>
      <w:rFonts w:ascii="Times New Roman" w:hAnsi="Times New Roman" w:eastAsia="宋体" w:cs="Times New Roman"/>
      <w:szCs w:val="24"/>
    </w:rPr>
  </w:style>
  <w:style w:type="character" w:customStyle="1" w:styleId="210">
    <w:name w:val="正文文本缩进 2 字符1"/>
    <w:qFormat/>
    <w:uiPriority w:val="0"/>
    <w:rPr>
      <w:rFonts w:ascii="Times New Roman" w:hAnsi="Times New Roman" w:eastAsia="宋体" w:cs="Times New Roman"/>
      <w:kern w:val="0"/>
      <w:sz w:val="24"/>
      <w:szCs w:val="20"/>
    </w:rPr>
  </w:style>
  <w:style w:type="character" w:customStyle="1" w:styleId="211">
    <w:name w:val="批注框文本 Char2"/>
    <w:qFormat/>
    <w:uiPriority w:val="99"/>
    <w:rPr>
      <w:rFonts w:ascii="Times New Roman" w:hAnsi="Times New Roman" w:eastAsia="宋体" w:cs="Times New Roman"/>
      <w:kern w:val="0"/>
      <w:sz w:val="18"/>
      <w:szCs w:val="18"/>
    </w:rPr>
  </w:style>
  <w:style w:type="character" w:customStyle="1" w:styleId="212">
    <w:name w:val="页脚 Char2"/>
    <w:qFormat/>
    <w:uiPriority w:val="99"/>
    <w:rPr>
      <w:rFonts w:ascii="Calibri" w:hAnsi="Calibri" w:eastAsia="宋体" w:cs="Times New Roman"/>
      <w:kern w:val="0"/>
      <w:sz w:val="18"/>
      <w:szCs w:val="18"/>
    </w:rPr>
  </w:style>
  <w:style w:type="character" w:customStyle="1" w:styleId="213">
    <w:name w:val="页眉 Char2"/>
    <w:qFormat/>
    <w:uiPriority w:val="99"/>
    <w:rPr>
      <w:rFonts w:ascii="Calibri" w:hAnsi="Calibri" w:eastAsia="宋体" w:cs="Times New Roman"/>
      <w:kern w:val="0"/>
      <w:sz w:val="18"/>
      <w:szCs w:val="18"/>
    </w:rPr>
  </w:style>
  <w:style w:type="character" w:customStyle="1" w:styleId="214">
    <w:name w:val="正文文本缩进 3 Char"/>
    <w:basedOn w:val="36"/>
    <w:semiHidden/>
    <w:qFormat/>
    <w:uiPriority w:val="99"/>
    <w:rPr>
      <w:rFonts w:ascii="Times New Roman" w:hAnsi="Times New Roman" w:eastAsia="宋体" w:cs="Times New Roman"/>
      <w:sz w:val="16"/>
      <w:szCs w:val="16"/>
    </w:rPr>
  </w:style>
  <w:style w:type="character" w:customStyle="1" w:styleId="215">
    <w:name w:val="正文文本缩进 3 字符1"/>
    <w:qFormat/>
    <w:uiPriority w:val="0"/>
    <w:rPr>
      <w:rFonts w:ascii="Times New Roman" w:hAnsi="Times New Roman" w:eastAsia="宋体" w:cs="Times New Roman"/>
      <w:kern w:val="0"/>
      <w:sz w:val="16"/>
      <w:szCs w:val="16"/>
    </w:rPr>
  </w:style>
  <w:style w:type="character" w:customStyle="1" w:styleId="216">
    <w:name w:val="HTML 预设格式 Char"/>
    <w:basedOn w:val="36"/>
    <w:semiHidden/>
    <w:qFormat/>
    <w:uiPriority w:val="99"/>
    <w:rPr>
      <w:rFonts w:ascii="Courier New" w:hAnsi="Courier New" w:eastAsia="宋体" w:cs="Courier New"/>
      <w:sz w:val="20"/>
      <w:szCs w:val="20"/>
    </w:rPr>
  </w:style>
  <w:style w:type="character" w:customStyle="1" w:styleId="217">
    <w:name w:val="HTML 预设格式 字符1"/>
    <w:qFormat/>
    <w:uiPriority w:val="99"/>
    <w:rPr>
      <w:rFonts w:ascii="宋体" w:hAnsi="宋体" w:eastAsia="宋体" w:cs="Times New Roman"/>
      <w:kern w:val="0"/>
      <w:sz w:val="24"/>
      <w:szCs w:val="24"/>
    </w:rPr>
  </w:style>
  <w:style w:type="character" w:customStyle="1" w:styleId="218">
    <w:name w:val="标题 Char"/>
    <w:basedOn w:val="36"/>
    <w:qFormat/>
    <w:uiPriority w:val="10"/>
    <w:rPr>
      <w:rFonts w:eastAsia="宋体" w:asciiTheme="majorHAnsi" w:hAnsiTheme="majorHAnsi" w:cstheme="majorBidi"/>
      <w:b/>
      <w:bCs/>
      <w:sz w:val="32"/>
      <w:szCs w:val="32"/>
    </w:rPr>
  </w:style>
  <w:style w:type="character" w:customStyle="1" w:styleId="219">
    <w:name w:val="标题 字符1"/>
    <w:qFormat/>
    <w:uiPriority w:val="0"/>
    <w:rPr>
      <w:rFonts w:ascii="Cambria" w:hAnsi="Cambria" w:eastAsia="宋体" w:cs="Times New Roman"/>
      <w:b/>
      <w:bCs/>
      <w:kern w:val="0"/>
      <w:sz w:val="32"/>
      <w:szCs w:val="32"/>
    </w:rPr>
  </w:style>
  <w:style w:type="character" w:customStyle="1" w:styleId="220">
    <w:name w:val="批注主题 Char2"/>
    <w:qFormat/>
    <w:uiPriority w:val="99"/>
    <w:rPr>
      <w:rFonts w:ascii="Times New Roman" w:hAnsi="Times New Roman" w:eastAsia="宋体" w:cs="Times New Roman"/>
      <w:b/>
      <w:bCs/>
      <w:kern w:val="0"/>
      <w:sz w:val="20"/>
      <w:szCs w:val="24"/>
    </w:rPr>
  </w:style>
  <w:style w:type="character" w:customStyle="1" w:styleId="221">
    <w:name w:val="中等深浅网格 11"/>
    <w:unhideWhenUsed/>
    <w:qFormat/>
    <w:uiPriority w:val="99"/>
    <w:rPr>
      <w:color w:val="808080"/>
    </w:rPr>
  </w:style>
  <w:style w:type="paragraph" w:customStyle="1" w:styleId="22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彩色列表 - 着色 11"/>
    <w:basedOn w:val="1"/>
    <w:unhideWhenUsed/>
    <w:qFormat/>
    <w:uiPriority w:val="34"/>
    <w:pPr>
      <w:ind w:firstLine="420" w:firstLineChars="200"/>
    </w:pPr>
  </w:style>
  <w:style w:type="paragraph" w:customStyle="1" w:styleId="224">
    <w:name w:val="TOC 标题1"/>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225">
    <w:name w:val="未处理的提及1"/>
    <w:basedOn w:val="36"/>
    <w:unhideWhenUsed/>
    <w:qFormat/>
    <w:uiPriority w:val="99"/>
    <w:rPr>
      <w:color w:val="605E5C"/>
      <w:shd w:val="clear" w:color="auto" w:fill="E1DFDD"/>
    </w:rPr>
  </w:style>
  <w:style w:type="character" w:customStyle="1" w:styleId="226">
    <w:name w:val="标题 1 Char"/>
    <w:basedOn w:val="36"/>
    <w:qFormat/>
    <w:uiPriority w:val="9"/>
    <w:rPr>
      <w:b/>
      <w:bCs/>
      <w:kern w:val="44"/>
      <w:sz w:val="44"/>
      <w:szCs w:val="44"/>
    </w:rPr>
  </w:style>
  <w:style w:type="character" w:customStyle="1" w:styleId="227">
    <w:name w:val="标题 2 Char"/>
    <w:basedOn w:val="36"/>
    <w:semiHidden/>
    <w:qFormat/>
    <w:uiPriority w:val="9"/>
    <w:rPr>
      <w:rFonts w:ascii="Calibri Light" w:hAnsi="Calibri Light" w:eastAsia="宋体" w:cs="Times New Roman"/>
      <w:b/>
      <w:bCs/>
      <w:sz w:val="32"/>
      <w:szCs w:val="32"/>
    </w:rPr>
  </w:style>
  <w:style w:type="character" w:customStyle="1" w:styleId="228">
    <w:name w:val="标题 3 Char"/>
    <w:basedOn w:val="36"/>
    <w:semiHidden/>
    <w:qFormat/>
    <w:uiPriority w:val="9"/>
    <w:rPr>
      <w:b/>
      <w:bCs/>
      <w:sz w:val="32"/>
      <w:szCs w:val="32"/>
    </w:rPr>
  </w:style>
  <w:style w:type="character" w:customStyle="1" w:styleId="229">
    <w:name w:val="批注文字 Char"/>
    <w:basedOn w:val="36"/>
    <w:semiHidden/>
    <w:qFormat/>
    <w:uiPriority w:val="99"/>
  </w:style>
  <w:style w:type="character" w:customStyle="1" w:styleId="230">
    <w:name w:val="批注框文本 Char"/>
    <w:basedOn w:val="36"/>
    <w:semiHidden/>
    <w:qFormat/>
    <w:uiPriority w:val="99"/>
    <w:rPr>
      <w:sz w:val="18"/>
      <w:szCs w:val="18"/>
    </w:rPr>
  </w:style>
  <w:style w:type="character" w:customStyle="1" w:styleId="231">
    <w:name w:val="页脚 Char"/>
    <w:basedOn w:val="36"/>
    <w:semiHidden/>
    <w:qFormat/>
    <w:uiPriority w:val="99"/>
    <w:rPr>
      <w:sz w:val="18"/>
      <w:szCs w:val="18"/>
    </w:rPr>
  </w:style>
  <w:style w:type="character" w:customStyle="1" w:styleId="232">
    <w:name w:val="页眉 Char"/>
    <w:basedOn w:val="36"/>
    <w:semiHidden/>
    <w:qFormat/>
    <w:uiPriority w:val="99"/>
    <w:rPr>
      <w:sz w:val="18"/>
      <w:szCs w:val="18"/>
    </w:rPr>
  </w:style>
  <w:style w:type="character" w:customStyle="1" w:styleId="233">
    <w:name w:val="批注主题 Char"/>
    <w:basedOn w:val="229"/>
    <w:semiHidden/>
    <w:qFormat/>
    <w:uiPriority w:val="99"/>
    <w:rPr>
      <w:b/>
      <w:bCs/>
    </w:rPr>
  </w:style>
  <w:style w:type="paragraph" w:customStyle="1" w:styleId="234">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35">
    <w:name w:val="_Style 140"/>
    <w:basedOn w:val="1"/>
    <w:next w:val="1"/>
    <w:unhideWhenUsed/>
    <w:qFormat/>
    <w:uiPriority w:val="39"/>
    <w:pPr>
      <w:ind w:left="630"/>
      <w:jc w:val="left"/>
    </w:pPr>
    <w:rPr>
      <w:rFonts w:ascii="Calibri" w:hAnsi="Calibri"/>
      <w:sz w:val="18"/>
      <w:szCs w:val="18"/>
    </w:rPr>
  </w:style>
  <w:style w:type="paragraph" w:customStyle="1" w:styleId="236">
    <w:name w:val="列表段落1"/>
    <w:basedOn w:val="1"/>
    <w:qFormat/>
    <w:uiPriority w:val="99"/>
    <w:pPr>
      <w:ind w:left="720"/>
    </w:pPr>
    <w:rPr>
      <w:szCs w:val="21"/>
    </w:rPr>
  </w:style>
  <w:style w:type="paragraph" w:customStyle="1" w:styleId="237">
    <w:name w:val="列出段落111"/>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0305D8-5A58-428E-B705-465D89A0615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3849</Words>
  <Characters>4140</Characters>
  <Lines>66</Lines>
  <Paragraphs>18</Paragraphs>
  <TotalTime>3</TotalTime>
  <ScaleCrop>false</ScaleCrop>
  <LinksUpToDate>false</LinksUpToDate>
  <CharactersWithSpaces>4142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熊彬</dc:creator>
  <cp:lastModifiedBy>WPS_1699703285</cp:lastModifiedBy>
  <cp:lastPrinted>2025-08-25T06:14:34Z</cp:lastPrinted>
  <dcterms:modified xsi:type="dcterms:W3CDTF">2025-08-25T08:03:28Z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AE47FEF4DA034873ADA3D3C9BB1BCA4E_12</vt:lpwstr>
  </property>
  <property fmtid="{D5CDD505-2E9C-101B-9397-08002B2CF9AE}" pid="4" name="KSOTemplateDocerSaveRecord">
    <vt:lpwstr>eyJoZGlkIjoiNTNhMTE5NWU3OTVkZGFjMWY5ZjBhYzlhMzVhMzVlMDAiLCJ1c2VySWQiOiIxNTU2ODIwMzgxIn0=</vt:lpwstr>
  </property>
</Properties>
</file>